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CellSpacing w:w="0" w:type="dxa"/>
        <w:tblInd w:w="108" w:type="dxa"/>
        <w:shd w:val="clear" w:color="auto" w:fill="FFFFFF"/>
        <w:tblCellMar>
          <w:left w:w="0" w:type="dxa"/>
          <w:right w:w="0" w:type="dxa"/>
        </w:tblCellMar>
        <w:tblLook w:val="04A0" w:firstRow="1" w:lastRow="0" w:firstColumn="1" w:lastColumn="0" w:noHBand="0" w:noVBand="1"/>
      </w:tblPr>
      <w:tblGrid>
        <w:gridCol w:w="3402"/>
        <w:gridCol w:w="5670"/>
      </w:tblGrid>
      <w:tr w:rsidR="005E52D5" w:rsidRPr="0037596D" w14:paraId="39E3AFAC" w14:textId="77777777" w:rsidTr="006E105A">
        <w:trPr>
          <w:trHeight w:val="849"/>
          <w:tblCellSpacing w:w="0" w:type="dxa"/>
        </w:trPr>
        <w:tc>
          <w:tcPr>
            <w:tcW w:w="3402" w:type="dxa"/>
            <w:shd w:val="clear" w:color="auto" w:fill="FFFFFF"/>
            <w:tcMar>
              <w:top w:w="0" w:type="dxa"/>
              <w:left w:w="108" w:type="dxa"/>
              <w:bottom w:w="0" w:type="dxa"/>
              <w:right w:w="108" w:type="dxa"/>
            </w:tcMar>
            <w:hideMark/>
          </w:tcPr>
          <w:p w14:paraId="32BA147B" w14:textId="2B27E618" w:rsidR="005E52D5" w:rsidRPr="0037596D" w:rsidRDefault="005E52D5" w:rsidP="006E105A">
            <w:pPr>
              <w:spacing w:line="234" w:lineRule="atLeast"/>
              <w:jc w:val="center"/>
              <w:rPr>
                <w:sz w:val="22"/>
              </w:rPr>
            </w:pPr>
            <w:r>
              <w:rPr>
                <w:noProof/>
              </w:rPr>
              <mc:AlternateContent>
                <mc:Choice Requires="wps">
                  <w:drawing>
                    <wp:anchor distT="4294967289" distB="4294967289" distL="114300" distR="114300" simplePos="0" relativeHeight="251659264" behindDoc="0" locked="0" layoutInCell="1" allowOverlap="1" wp14:anchorId="54F6EA6B" wp14:editId="38122526">
                      <wp:simplePos x="0" y="0"/>
                      <wp:positionH relativeFrom="column">
                        <wp:posOffset>573405</wp:posOffset>
                      </wp:positionH>
                      <wp:positionV relativeFrom="paragraph">
                        <wp:posOffset>423544</wp:posOffset>
                      </wp:positionV>
                      <wp:extent cx="720090" cy="0"/>
                      <wp:effectExtent l="0" t="0" r="0" b="0"/>
                      <wp:wrapNone/>
                      <wp:docPr id="77889664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00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EB74DA" id="Straight Connector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margin" from="45.15pt,33.35pt" to="101.8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vuTvgEAAHQDAAAOAAAAZHJzL2Uyb0RvYy54bWysU01v3CAQvVfKf0Dcu96kappa680hq+QS&#10;tZGS/oAJBhsVGMSQtfffd2A/umlvVX1AA8O8efN4Xt3O3omtTmQxdPJysZRCB4W9DUMnf7zcf7yR&#10;gjKEHhwG3cmdJnm7vviwmmKrr3BE1+skGCRQO8VOjjnHtmlIjdoDLTDqwEmDyUPmbRqaPsHE6N41&#10;V8vldTNh6mNCpYn4dLNPynXFN0ar/N0Y0lm4TjK3XNdU19eyNusVtEOCOFp1oAH/wMKDDdz0BLWB&#10;DOIt2b+gvFUJCU1eKPQNGmOVrjPwNJfLP6Z5HiHqOguLQ/EkE/0/WPVtexeeUqGu5vAcH1H9JBal&#10;mSK1p2TZUNxfm03y5TpzF3MVcncSUs9ZKD78wk/zleVWx1QD7bEuJsoPGr0oQSedDWVEaGH7SLl0&#10;hvZ4pRwHvLfO1WdyQUydvP70uSADm8U4yBz62HeSwiAFuIFdqHKqiITO9qW64NCO7lwSW2AjsH96&#10;nF6YrRQOKHOCR6hfMQQzeFda6GyAxn1xTe19421m8zrrO3lzXu1C6air/Q5D/VawRK/Y757SUWZ+&#10;2tr0YMPinfM9x+c/y/oXAAAA//8DAFBLAwQUAAYACAAAACEAZS+x2N0AAAAIAQAADwAAAGRycy9k&#10;b3ducmV2LnhtbEyPzU7DMBCE70i8g7VI3KhNI6U0jVOhoh64lRQkjm68+YF4HcVOG96eRRzgtrsz&#10;mv0m386uF2ccQ+dJw/1CgUCqvO2o0fB63N89gAjRkDW9J9TwhQG2xfVVbjLrL/SC5zI2gkMoZEZD&#10;G+OQSRmqFp0JCz8gsVb70ZnI69hIO5oLh7teLpVKpTMd8YfWDLhrsfosJ6dhOuxq1e2T+eM9KeX0&#10;vDq8PdWN1rc38+MGRMQ5/pnhB5/RoWCmk5/IBtFrWKuEnRrSdAWC9aVKeDj9HmSRy/8Fim8AAAD/&#10;/wMAUEsBAi0AFAAGAAgAAAAhALaDOJL+AAAA4QEAABMAAAAAAAAAAAAAAAAAAAAAAFtDb250ZW50&#10;X1R5cGVzXS54bWxQSwECLQAUAAYACAAAACEAOP0h/9YAAACUAQAACwAAAAAAAAAAAAAAAAAvAQAA&#10;X3JlbHMvLnJlbHNQSwECLQAUAAYACAAAACEA73b7k74BAAB0AwAADgAAAAAAAAAAAAAAAAAuAgAA&#10;ZHJzL2Uyb0RvYy54bWxQSwECLQAUAAYACAAAACEAZS+x2N0AAAAIAQAADwAAAAAAAAAAAAAAAAAY&#10;BAAAZHJzL2Rvd25yZXYueG1sUEsFBgAAAAAEAAQA8wAAACIFAAAAAA==&#10;" strokecolor="windowText" strokeweight=".5pt">
                      <v:stroke joinstyle="miter"/>
                      <o:lock v:ext="edit" shapetype="f"/>
                    </v:line>
                  </w:pict>
                </mc:Fallback>
              </mc:AlternateContent>
            </w:r>
            <w:r w:rsidRPr="0037596D">
              <w:rPr>
                <w:b/>
                <w:bCs/>
                <w:sz w:val="26"/>
              </w:rPr>
              <w:t>HỘI ĐỒNG NHÂN DÂN</w:t>
            </w:r>
            <w:r w:rsidRPr="0037596D">
              <w:rPr>
                <w:b/>
                <w:bCs/>
                <w:sz w:val="26"/>
              </w:rPr>
              <w:br/>
              <w:t>TỈNH THÁI NGUYÊN</w:t>
            </w:r>
            <w:r w:rsidRPr="0037596D">
              <w:rPr>
                <w:b/>
                <w:bCs/>
              </w:rPr>
              <w:br/>
            </w:r>
          </w:p>
        </w:tc>
        <w:tc>
          <w:tcPr>
            <w:tcW w:w="5670" w:type="dxa"/>
            <w:shd w:val="clear" w:color="auto" w:fill="FFFFFF"/>
            <w:tcMar>
              <w:top w:w="0" w:type="dxa"/>
              <w:left w:w="108" w:type="dxa"/>
              <w:bottom w:w="0" w:type="dxa"/>
              <w:right w:w="108" w:type="dxa"/>
            </w:tcMar>
            <w:hideMark/>
          </w:tcPr>
          <w:p w14:paraId="27B084CF" w14:textId="5307A4D7" w:rsidR="005E52D5" w:rsidRPr="0037596D" w:rsidRDefault="002443B7" w:rsidP="006E105A">
            <w:pPr>
              <w:spacing w:line="234" w:lineRule="atLeast"/>
              <w:jc w:val="center"/>
              <w:rPr>
                <w:sz w:val="8"/>
              </w:rPr>
            </w:pPr>
            <w:r w:rsidRPr="00C93BCA">
              <w:rPr>
                <w:noProof/>
                <w:sz w:val="20"/>
              </w:rPr>
              <mc:AlternateContent>
                <mc:Choice Requires="wps">
                  <w:drawing>
                    <wp:anchor distT="0" distB="0" distL="114300" distR="114300" simplePos="0" relativeHeight="251666432" behindDoc="0" locked="0" layoutInCell="1" allowOverlap="1" wp14:anchorId="674B9BE7" wp14:editId="796EA99B">
                      <wp:simplePos x="0" y="0"/>
                      <wp:positionH relativeFrom="column">
                        <wp:posOffset>619125</wp:posOffset>
                      </wp:positionH>
                      <wp:positionV relativeFrom="paragraph">
                        <wp:posOffset>433070</wp:posOffset>
                      </wp:positionV>
                      <wp:extent cx="2161727" cy="0"/>
                      <wp:effectExtent l="0" t="0" r="10160" b="1905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17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515A8C" id="Line 1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34.1pt" to="218.9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R+sAEAAEgDAAAOAAAAZHJzL2Uyb0RvYy54bWysU8Fu2zAMvQ/YPwi6L44DtN2MOD2k6y7d&#10;FqDdBzCSbAuTRYFUYufvJ6lJVmy3YT4Iokg+vfdEr+/n0YmjIbboW1kvllIYr1Bb37fyx8vjh49S&#10;cASvwaE3rTwZlveb9+/WU2jMCgd02pBIIJ6bKbRyiDE0VcVqMCPwAoPxKdkhjRBTSH2lCaaEPrpq&#10;tVzeVhOSDoTKMKfTh9ek3BT8rjMqfu86NlG4ViZusaxU1n1eq80amp4gDFadacA/sBjB+nTpFeoB&#10;IogD2b+gRqsIGbu4UDhW2HVWmaIhqamXf6h5HiCYoiWZw+FqE/8/WPXtuPU7ytTV7J/DE6qfLDxu&#10;B/C9KQReTiE9XJ2tqqbAzbUlBxx2JPbTV9SpBg4RiwtzR2OGTPrEXMw+Xc02cxQqHa7q2/pudSeF&#10;uuQqaC6NgTh+MTiKvGmlsz77AA0cnzhmItBcSvKxx0frXHlL58XUyk83q5vSwOiszslcxtTvt47E&#10;EfI0lK+oSpm3ZYQHrwvYYEB/Pu8jWPe6T5c7fzYj68/Dxs0e9WlHF5PScxWW59HK8/A2Lt2/f4DN&#10;LwAAAP//AwBQSwMEFAAGAAgAAAAhAIFRsQPdAAAACAEAAA8AAABkcnMvZG93bnJldi54bWxMj81O&#10;wzAQhO9IvIO1SFwq6pBCf0I2FQJy40IBcd3GSxIRr9PYbQNPjxEHOM7OaObbfD3aTh148K0ThMtp&#10;AoqlcqaVGuHlubxYgvKBxFDnhBE+2cO6OD3JKTPuKE982IRaxRLxGSE0IfSZ1r5q2JKfup4leu9u&#10;sBSiHGptBjrGctvpNEnm2lIrcaGhnu8arj42e4vgy1felV+TapK8zWrH6e7+8YEQz8/G2xtQgcfw&#10;F4Yf/IgORWTaur0YrzqE1eI6JhHmyxRU9K9mixWo7e9BF7n+/0DxDQAA//8DAFBLAQItABQABgAI&#10;AAAAIQC2gziS/gAAAOEBAAATAAAAAAAAAAAAAAAAAAAAAABbQ29udGVudF9UeXBlc10ueG1sUEsB&#10;Ai0AFAAGAAgAAAAhADj9If/WAAAAlAEAAAsAAAAAAAAAAAAAAAAALwEAAF9yZWxzLy5yZWxzUEsB&#10;Ai0AFAAGAAgAAAAhAABnZH6wAQAASAMAAA4AAAAAAAAAAAAAAAAALgIAAGRycy9lMm9Eb2MueG1s&#10;UEsBAi0AFAAGAAgAAAAhAIFRsQPdAAAACAEAAA8AAAAAAAAAAAAAAAAACgQAAGRycy9kb3ducmV2&#10;LnhtbFBLBQYAAAAABAAEAPMAAAAUBQAAAAA=&#10;"/>
                  </w:pict>
                </mc:Fallback>
              </mc:AlternateContent>
            </w:r>
            <w:r w:rsidR="005E52D5" w:rsidRPr="0037596D">
              <w:rPr>
                <w:b/>
                <w:bCs/>
                <w:sz w:val="26"/>
              </w:rPr>
              <w:t>CỘNG HÒA XÃ HỘI CHỦ NGHĨA VIỆT NAM</w:t>
            </w:r>
            <w:r w:rsidR="005E52D5" w:rsidRPr="0037596D">
              <w:rPr>
                <w:b/>
                <w:bCs/>
              </w:rPr>
              <w:br/>
              <w:t>Độc lập - Tự do - Hạnh phúc</w:t>
            </w:r>
            <w:r w:rsidR="005E52D5" w:rsidRPr="0037596D">
              <w:rPr>
                <w:b/>
                <w:bCs/>
              </w:rPr>
              <w:br/>
            </w:r>
          </w:p>
        </w:tc>
      </w:tr>
      <w:tr w:rsidR="005E52D5" w:rsidRPr="0037596D" w14:paraId="490A4B2A" w14:textId="77777777" w:rsidTr="006E105A">
        <w:trPr>
          <w:tblCellSpacing w:w="0" w:type="dxa"/>
        </w:trPr>
        <w:tc>
          <w:tcPr>
            <w:tcW w:w="3402" w:type="dxa"/>
            <w:shd w:val="clear" w:color="auto" w:fill="FFFFFF"/>
            <w:tcMar>
              <w:top w:w="0" w:type="dxa"/>
              <w:left w:w="108" w:type="dxa"/>
              <w:bottom w:w="0" w:type="dxa"/>
              <w:right w:w="108" w:type="dxa"/>
            </w:tcMar>
            <w:hideMark/>
          </w:tcPr>
          <w:p w14:paraId="6ED73558" w14:textId="122B518F" w:rsidR="005E52D5" w:rsidRPr="0037596D" w:rsidRDefault="005E52D5" w:rsidP="006E105A">
            <w:pPr>
              <w:spacing w:before="120" w:line="234" w:lineRule="atLeast"/>
              <w:jc w:val="center"/>
            </w:pPr>
            <w:r w:rsidRPr="0037596D">
              <w:t xml:space="preserve">Số: </w:t>
            </w:r>
            <w:r w:rsidRPr="0037596D">
              <w:rPr>
                <w:lang w:val="vi-VN"/>
              </w:rPr>
              <w:t xml:space="preserve">   </w:t>
            </w:r>
            <w:r w:rsidRPr="0037596D">
              <w:t xml:space="preserve">     </w:t>
            </w:r>
            <w:r w:rsidRPr="0037596D">
              <w:rPr>
                <w:lang w:val="vi-VN"/>
              </w:rPr>
              <w:t xml:space="preserve">  </w:t>
            </w:r>
            <w:r w:rsidRPr="0037596D">
              <w:t>/202</w:t>
            </w:r>
            <w:r w:rsidR="00942FF4">
              <w:t>4</w:t>
            </w:r>
            <w:r w:rsidRPr="0037596D">
              <w:t>/NQ-HĐND</w:t>
            </w:r>
          </w:p>
        </w:tc>
        <w:tc>
          <w:tcPr>
            <w:tcW w:w="5670" w:type="dxa"/>
            <w:shd w:val="clear" w:color="auto" w:fill="FFFFFF"/>
            <w:tcMar>
              <w:top w:w="0" w:type="dxa"/>
              <w:left w:w="108" w:type="dxa"/>
              <w:bottom w:w="0" w:type="dxa"/>
              <w:right w:w="108" w:type="dxa"/>
            </w:tcMar>
            <w:hideMark/>
          </w:tcPr>
          <w:p w14:paraId="51266555" w14:textId="3B1A9CD5" w:rsidR="005E52D5" w:rsidRPr="0037596D" w:rsidRDefault="005E52D5" w:rsidP="006E105A">
            <w:pPr>
              <w:spacing w:before="120" w:line="234" w:lineRule="atLeast"/>
              <w:jc w:val="center"/>
            </w:pPr>
            <w:r w:rsidRPr="0037596D">
              <w:rPr>
                <w:i/>
                <w:iCs/>
              </w:rPr>
              <w:t xml:space="preserve">    Thái Nguyên, ngày      tháng </w:t>
            </w:r>
            <w:r w:rsidR="00AD56B7">
              <w:rPr>
                <w:i/>
                <w:iCs/>
              </w:rPr>
              <w:t xml:space="preserve">  </w:t>
            </w:r>
            <w:r w:rsidRPr="0037596D">
              <w:rPr>
                <w:i/>
                <w:iCs/>
              </w:rPr>
              <w:t xml:space="preserve"> năm 202</w:t>
            </w:r>
            <w:r w:rsidR="00942FF4">
              <w:rPr>
                <w:i/>
                <w:iCs/>
              </w:rPr>
              <w:t>4</w:t>
            </w:r>
          </w:p>
        </w:tc>
      </w:tr>
    </w:tbl>
    <w:p w14:paraId="2AF26991" w14:textId="3EA0B37F" w:rsidR="005E52D5" w:rsidRPr="00E155D2" w:rsidRDefault="005E52D5" w:rsidP="005E52D5">
      <w:pPr>
        <w:shd w:val="clear" w:color="auto" w:fill="FFFFFF"/>
        <w:spacing w:before="120" w:line="234" w:lineRule="atLeast"/>
        <w:jc w:val="center"/>
        <w:rPr>
          <w:b/>
          <w:bCs/>
          <w:sz w:val="12"/>
          <w:szCs w:val="12"/>
        </w:rPr>
      </w:pPr>
      <w:r>
        <w:rPr>
          <w:noProof/>
        </w:rPr>
        <mc:AlternateContent>
          <mc:Choice Requires="wps">
            <w:drawing>
              <wp:anchor distT="0" distB="0" distL="114300" distR="114300" simplePos="0" relativeHeight="251661312" behindDoc="0" locked="0" layoutInCell="1" allowOverlap="1" wp14:anchorId="4724015E" wp14:editId="2707834F">
                <wp:simplePos x="0" y="0"/>
                <wp:positionH relativeFrom="column">
                  <wp:posOffset>298289</wp:posOffset>
                </wp:positionH>
                <wp:positionV relativeFrom="paragraph">
                  <wp:posOffset>110234</wp:posOffset>
                </wp:positionV>
                <wp:extent cx="1023582" cy="342900"/>
                <wp:effectExtent l="0" t="0" r="24765" b="19050"/>
                <wp:wrapNone/>
                <wp:docPr id="78509164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582" cy="342900"/>
                        </a:xfrm>
                        <a:prstGeom prst="rect">
                          <a:avLst/>
                        </a:prstGeom>
                        <a:solidFill>
                          <a:srgbClr val="FFFFFF"/>
                        </a:solidFill>
                        <a:ln w="9525">
                          <a:solidFill>
                            <a:srgbClr val="000000"/>
                          </a:solidFill>
                          <a:miter lim="800000"/>
                          <a:headEnd/>
                          <a:tailEnd/>
                        </a:ln>
                      </wps:spPr>
                      <wps:txbx>
                        <w:txbxContent>
                          <w:p w14:paraId="076D3084" w14:textId="22E4A116" w:rsidR="005E52D5" w:rsidRPr="00942FF4" w:rsidRDefault="005E52D5" w:rsidP="005E52D5">
                            <w:pPr>
                              <w:jc w:val="center"/>
                              <w:rPr>
                                <w:b/>
                                <w:bCs/>
                              </w:rPr>
                            </w:pPr>
                            <w:r w:rsidRPr="00942FF4">
                              <w:rPr>
                                <w:b/>
                                <w:bCs/>
                              </w:rPr>
                              <w:t xml:space="preserve">Dự thảo </w:t>
                            </w:r>
                            <w:r w:rsidR="00942FF4" w:rsidRPr="00942FF4">
                              <w:rPr>
                                <w:b/>
                                <w:bC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24015E" id="Rectangle 4" o:spid="_x0000_s1026" style="position:absolute;left:0;text-align:left;margin-left:23.5pt;margin-top:8.7pt;width:80.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NWoEgIAACEEAAAOAAAAZHJzL2Uyb0RvYy54bWysU9uO2yAQfa/Uf0C8N3a8SZtYcVarbFNV&#10;2l6kbT8AYxyjYoYOJHb69R1INptenqrygGaY4XDmzLC6HXvDDgq9Blvx6STnTFkJjba7in/9sn21&#10;4MwHYRthwKqKH5Xnt+uXL1aDK1UBHZhGISMQ68vBVbwLwZVZ5mWneuEn4JSlYAvYi0Au7rIGxUDo&#10;vcmKPH+dDYCNQ5DKezq9PwX5OuG3rZLhU9t6FZipOHELace013HP1itR7lC4TsszDfEPLHqhLT16&#10;gboXQbA96j+gei0RPLRhIqHPoG21VKkGqmaa/1bNYyecSrWQON5dZPL/D1Z+PDy6zxipe/cA8ptn&#10;FjadsDt1hwhDp0RDz02jUNngfHm5EB1PV1k9fICGWiv2AZIGY4t9BKTq2JikPl6kVmNgkg6neXEz&#10;XxScSYrdzIplnnqRifLptkMf3inoWTQqjtTKhC4ODz5ENqJ8Sknswehmq41JDu7qjUF2ENT2bVqp&#10;ACryOs1YNlR8OS/mCfmXmL+GyNP6G0SvA82v0X3FF5ckUUbZ3tomTVcQ2pxsomzsWccoXZxSX4ax&#10;HikxmjU0R1IU4TSn9K/I6AB/cDbQjFbcf98LVJyZ95a6spzOZnGokzObvynIwetIfR0RVhJUxQNn&#10;J3MTTh9h71DvOnppmmSwcEedbHUS+ZnVmTfNYdL+/GfioF/7Kev5Z69/AgAA//8DAFBLAwQUAAYA&#10;CAAAACEAIAxzbt4AAAAIAQAADwAAAGRycy9kb3ducmV2LnhtbEyPwU7DMBBE70j8g7VI3KjdEJES&#10;4lQIVCSObXrhtomXJBDbUey0ga9nOcFxdlYzb4rtYgdxoin03mlYrxQIco03vWs1HKvdzQZEiOgM&#10;Dt6Rhi8KsC0vLwrMjT+7PZ0OsRUc4kKOGroYx1zK0HRkMaz8SI69dz9ZjCynVpoJzxxuB5kodSct&#10;9o4bOhzpqaPm8zBbDXWfHPF7X70oe7+7ja9L9TG/PWt9fbU8PoCItMS/Z/jFZ3Qoman2szNBDBrS&#10;jKdEvmcpCPYTtUlA1BqydQqyLOT/AeUPAAAA//8DAFBLAQItABQABgAIAAAAIQC2gziS/gAAAOEB&#10;AAATAAAAAAAAAAAAAAAAAAAAAABbQ29udGVudF9UeXBlc10ueG1sUEsBAi0AFAAGAAgAAAAhADj9&#10;If/WAAAAlAEAAAsAAAAAAAAAAAAAAAAALwEAAF9yZWxzLy5yZWxzUEsBAi0AFAAGAAgAAAAhACss&#10;1agSAgAAIQQAAA4AAAAAAAAAAAAAAAAALgIAAGRycy9lMm9Eb2MueG1sUEsBAi0AFAAGAAgAAAAh&#10;ACAMc27eAAAACAEAAA8AAAAAAAAAAAAAAAAAbAQAAGRycy9kb3ducmV2LnhtbFBLBQYAAAAABAAE&#10;APMAAAB3BQAAAAA=&#10;">
                <v:textbox>
                  <w:txbxContent>
                    <w:p w14:paraId="076D3084" w14:textId="22E4A116" w:rsidR="005E52D5" w:rsidRPr="00942FF4" w:rsidRDefault="005E52D5" w:rsidP="005E52D5">
                      <w:pPr>
                        <w:jc w:val="center"/>
                        <w:rPr>
                          <w:b/>
                          <w:bCs/>
                        </w:rPr>
                      </w:pPr>
                      <w:r w:rsidRPr="00942FF4">
                        <w:rPr>
                          <w:b/>
                          <w:bCs/>
                        </w:rPr>
                        <w:t xml:space="preserve">Dự thảo </w:t>
                      </w:r>
                      <w:r w:rsidR="00942FF4" w:rsidRPr="00942FF4">
                        <w:rPr>
                          <w:b/>
                          <w:bCs/>
                        </w:rPr>
                        <w:t>2</w:t>
                      </w:r>
                    </w:p>
                  </w:txbxContent>
                </v:textbox>
              </v:rect>
            </w:pict>
          </mc:Fallback>
        </mc:AlternateContent>
      </w:r>
    </w:p>
    <w:p w14:paraId="30C8BB50" w14:textId="6B08465F" w:rsidR="005E52D5" w:rsidRPr="007B79C0" w:rsidRDefault="005E52D5" w:rsidP="005E52D5">
      <w:pPr>
        <w:shd w:val="clear" w:color="auto" w:fill="FFFFFF"/>
        <w:spacing w:before="120"/>
        <w:jc w:val="center"/>
        <w:rPr>
          <w:sz w:val="10"/>
          <w:szCs w:val="10"/>
        </w:rPr>
      </w:pPr>
      <w:r>
        <w:rPr>
          <w:noProof/>
        </w:rPr>
        <mc:AlternateContent>
          <mc:Choice Requires="wps">
            <w:drawing>
              <wp:anchor distT="0" distB="0" distL="114300" distR="114300" simplePos="0" relativeHeight="251662336" behindDoc="0" locked="0" layoutInCell="1" allowOverlap="1" wp14:anchorId="69D548A8" wp14:editId="7B579BFE">
                <wp:simplePos x="0" y="0"/>
                <wp:positionH relativeFrom="column">
                  <wp:posOffset>-2636520</wp:posOffset>
                </wp:positionH>
                <wp:positionV relativeFrom="paragraph">
                  <wp:posOffset>-1285240</wp:posOffset>
                </wp:positionV>
                <wp:extent cx="704850" cy="419100"/>
                <wp:effectExtent l="0" t="0" r="0" b="0"/>
                <wp:wrapNone/>
                <wp:docPr id="1358477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419100"/>
                        </a:xfrm>
                        <a:prstGeom prst="rect">
                          <a:avLst/>
                        </a:prstGeom>
                        <a:solidFill>
                          <a:sysClr val="window" lastClr="FFFFFF"/>
                        </a:solidFill>
                        <a:ln w="6350">
                          <a:solidFill>
                            <a:prstClr val="black"/>
                          </a:solidFill>
                        </a:ln>
                      </wps:spPr>
                      <wps:txbx>
                        <w:txbxContent>
                          <w:p w14:paraId="0AB55CDC" w14:textId="77777777" w:rsidR="005E52D5" w:rsidRDefault="005E52D5" w:rsidP="005E52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D548A8" id="_x0000_t202" coordsize="21600,21600" o:spt="202" path="m,l,21600r21600,l21600,xe">
                <v:stroke joinstyle="miter"/>
                <v:path gradientshapeok="t" o:connecttype="rect"/>
              </v:shapetype>
              <v:shape id="Text Box 3" o:spid="_x0000_s1027" type="#_x0000_t202" style="position:absolute;left:0;text-align:left;margin-left:-207.6pt;margin-top:-101.2pt;width:55.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wP4TgIAAKwEAAAOAAAAZHJzL2Uyb0RvYy54bWysVE1vGjEQvVfqf7B8bxYo+VqxRDQRVSWU&#10;RCJVzsbrDat4Pa5t2KW/vs9mIV89VeVgbM/4zcybNzu56hrNtsr5mkzBhycDzpSRVNbmqeA/H+Zf&#10;LjjzQZhSaDKq4Dvl+dX086dJa3M1ojXpUjkGEOPz1hZ8HYLNs8zLtWqEPyGrDIwVuUYEHN1TVjrR&#10;Ar3R2WgwOMtacqV1JJX3uL3ZG/k04VeVkuGuqrwKTBccuYW0urSu4ppNJyJ/csKua9mnIf4hi0bU&#10;BkGPUDciCLZx9QeoppaOPFXhRFKTUVXVUqUaUM1w8K6a5VpYlWoBOd4eafL/D1bebpf23rHQfaMO&#10;DUxFeLsg+ezBTdZan/c+kVOfe3jHQrvKNfEfJTA8BLe7I5+qC0zi8nwwvjiFRcI0Hl4OB4nv7OWx&#10;dT58V9SwuCm4Q7tSAmK78CGGF/nBJcbypOtyXmudDjt/rR3bCnQWgiip5UwLH3BZ8Hn6xe4C4s0z&#10;bVhb8LOvyOsDZIx1xFxpIZ8/IgBPm56YPReRldCtOlaXkUDEjDcrKnfg1dFect7KeQ34BTK8Fw4a&#10;Ay+Ym3CHpdKEnKjfcbYm9/tv99EfrYeVsxaaLbj/tRFOofAfBqK4HI7HUeTpMD49H+HgXltWry1m&#10;01wTyBtiQq1M2+gf9GFbOWoeMV6zGBUmYSRiFzwcttdhP0kYT6lms+QEWVsRFmZp5UFOkdaH7lE4&#10;2/c5QCC3dFC3yN+1e+8bu2NotglU1UkLL6z29GMkUn/78Y0z9/qcvF4+MtM/AAAA//8DAFBLAwQU&#10;AAYACAAAACEAkFSIEOQAAAAPAQAADwAAAGRycy9kb3ducmV2LnhtbEyPzU7DMBCE70i8g7VI3FI7&#10;P60gxKlKJQScKgoS4ubE2yRKbEexm4a3ZznBbXZnNPttsV3MwGacfOeshHglgKGtne5sI+Hj/Sm6&#10;A+aDsloNzqKEb/SwLa+vCpVrd7FvOB9Dw6jE+lxJaEMYc8593aJRfuVGtOSd3GRUoHFquJ7UhcrN&#10;wBMhNtyoztKFVo24b7Huj2cjYXd4rV58nZ5m3e/x+fNx7O+/1lLe3iy7B2ABl/AXhl98QoeSmCp3&#10;ttqzQUKUxeuEsqQSkWTAKBOlIqNdRSpONxnwsuD//yh/AAAA//8DAFBLAQItABQABgAIAAAAIQC2&#10;gziS/gAAAOEBAAATAAAAAAAAAAAAAAAAAAAAAABbQ29udGVudF9UeXBlc10ueG1sUEsBAi0AFAAG&#10;AAgAAAAhADj9If/WAAAAlAEAAAsAAAAAAAAAAAAAAAAALwEAAF9yZWxzLy5yZWxzUEsBAi0AFAAG&#10;AAgAAAAhALqDA/hOAgAArAQAAA4AAAAAAAAAAAAAAAAALgIAAGRycy9lMm9Eb2MueG1sUEsBAi0A&#10;FAAGAAgAAAAhAJBUiBDkAAAADwEAAA8AAAAAAAAAAAAAAAAAqAQAAGRycy9kb3ducmV2LnhtbFBL&#10;BQYAAAAABAAEAPMAAAC5BQAAAAA=&#10;" fillcolor="window" strokeweight=".5pt">
                <v:path arrowok="t"/>
                <v:textbox>
                  <w:txbxContent>
                    <w:p w14:paraId="0AB55CDC" w14:textId="77777777" w:rsidR="005E52D5" w:rsidRDefault="005E52D5" w:rsidP="005E52D5"/>
                  </w:txbxContent>
                </v:textbox>
              </v:shape>
            </w:pict>
          </mc:Fallback>
        </mc:AlternateContent>
      </w:r>
      <w:r w:rsidRPr="007B79C0">
        <w:rPr>
          <w:b/>
          <w:bCs/>
          <w:sz w:val="10"/>
          <w:szCs w:val="10"/>
        </w:rPr>
        <w:t> </w:t>
      </w:r>
    </w:p>
    <w:p w14:paraId="1FC6CB86" w14:textId="77777777" w:rsidR="005E52D5" w:rsidRPr="0037596D" w:rsidRDefault="005E52D5" w:rsidP="005E52D5">
      <w:pPr>
        <w:jc w:val="center"/>
      </w:pPr>
      <w:bookmarkStart w:id="0" w:name="loai_1_name"/>
      <w:r w:rsidRPr="0037596D">
        <w:rPr>
          <w:b/>
        </w:rPr>
        <w:t>NGHỊ</w:t>
      </w:r>
      <w:bookmarkStart w:id="1" w:name="_GoBack"/>
      <w:bookmarkEnd w:id="1"/>
      <w:r w:rsidRPr="0037596D">
        <w:rPr>
          <w:b/>
        </w:rPr>
        <w:t xml:space="preserve"> QUYẾT</w:t>
      </w:r>
    </w:p>
    <w:bookmarkEnd w:id="0"/>
    <w:p w14:paraId="01FB800C" w14:textId="1486EA12" w:rsidR="005E52D5" w:rsidRPr="0037596D" w:rsidRDefault="00942FF4" w:rsidP="005E52D5">
      <w:pPr>
        <w:widowControl w:val="0"/>
        <w:tabs>
          <w:tab w:val="right" w:leader="dot" w:pos="7920"/>
        </w:tabs>
        <w:spacing w:line="340" w:lineRule="atLeast"/>
        <w:jc w:val="center"/>
        <w:rPr>
          <w:b/>
        </w:rPr>
      </w:pPr>
      <w:r>
        <w:rPr>
          <w:b/>
          <w:spacing w:val="-2"/>
        </w:rPr>
        <w:t xml:space="preserve">Bãi bỏ các nghị quyết của Hội đồng nhân dân tỉnh </w:t>
      </w:r>
      <w:r w:rsidR="005E52D5" w:rsidRPr="0037596D">
        <w:rPr>
          <w:b/>
          <w:spacing w:val="-2"/>
        </w:rPr>
        <w:t xml:space="preserve">Thái Nguyên </w:t>
      </w:r>
    </w:p>
    <w:p w14:paraId="286C1052" w14:textId="7484EDD3" w:rsidR="005E52D5" w:rsidRPr="00E155D2" w:rsidRDefault="005E52D5" w:rsidP="005E52D5">
      <w:pPr>
        <w:shd w:val="clear" w:color="auto" w:fill="FFFFFF"/>
        <w:jc w:val="center"/>
        <w:rPr>
          <w:rFonts w:ascii="Times New Roman Bold" w:hAnsi="Times New Roman Bold"/>
          <w:b/>
          <w:bCs/>
          <w:sz w:val="10"/>
          <w:szCs w:val="10"/>
        </w:rPr>
      </w:pPr>
      <w:r>
        <w:rPr>
          <w:noProof/>
        </w:rPr>
        <mc:AlternateContent>
          <mc:Choice Requires="wps">
            <w:drawing>
              <wp:anchor distT="4294967289" distB="4294967289" distL="114300" distR="114300" simplePos="0" relativeHeight="251663360" behindDoc="0" locked="0" layoutInCell="1" allowOverlap="1" wp14:anchorId="2DD873F5" wp14:editId="256D8596">
                <wp:simplePos x="0" y="0"/>
                <wp:positionH relativeFrom="margin">
                  <wp:align>center</wp:align>
                </wp:positionH>
                <wp:positionV relativeFrom="paragraph">
                  <wp:posOffset>4444</wp:posOffset>
                </wp:positionV>
                <wp:extent cx="1511935" cy="0"/>
                <wp:effectExtent l="0" t="0" r="0" b="0"/>
                <wp:wrapNone/>
                <wp:docPr id="25775999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AEEB19" id="Straight Connector 2" o:spid="_x0000_s1026" style="position:absolute;z-index:251663360;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margin;mso-height-relative:margin" from="0,.35pt" to="11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95TwAEAAHUDAAAOAAAAZHJzL2Uyb0RvYy54bWysU8tu2zAQvBfoPxC8x7QSOEgFyznESC9B&#10;GyDpB2woUiLCF7isJf99l/SjTnsrqgOx5HJnZ5aj9f3sLNuphCb4jjeLJWfKy9AbP3T8x+vj1R1n&#10;mMH3YINXHd8r5Pebz5/WU2zVdRiD7VViBOKxnWLHx5xjKwTKUTnARYjKU1KH5CDTNg2iTzARurPi&#10;erm8FVNIfUxBKkQ63R6SfFPxtVYyf9caVWa248Qt1zXV9a2sYrOGdkgQRyOPNOAfWDgwnpqeobaQ&#10;gf1M5i8oZ2QKGHReyOBE0NpIVTWQmmb5h5qXEaKqWmg4GM9jwv8HK7/tHvxzKtTl7F/iU5DvSEMR&#10;U8T2nCwbjIdrs06uXCfubK6D3J8HqebMJB02q6b5crPiTJ5yAtpTYUyYv6rgWAk6bo0vGqGF3RPm&#10;0hra05Vy7MOjsba+k/Vs6vjtzYpeUgK5RVvIFLrYdxz9wBnYgWwoc6qIGKzpS3XBwT0+2MR2QE4g&#10;A/VheiW6nFnATAnSUL/iCGLwobTQ2QKOh+KaOhjHmUzutcZ1/O6y2vrSUVX/HUX9HmGJ3kK/f06n&#10;OdPb1qZHHxbzXO4pvvxbNr8AAAD//wMAUEsDBBQABgAIAAAAIQCYER9g2AAAAAIBAAAPAAAAZHJz&#10;L2Rvd25yZXYueG1sTI/NTsMwEITvSLyDtUjcqNNGolXIpkJFPXAroUgc3XjzA/E6ip02vD3bExxH&#10;M5r5Jt/OrldnGkPnGWG5SEARV9523CAc3/cPG1AhGram90wIPxRgW9ze5Caz/sJvdC5jo6SEQ2YQ&#10;2hiHTOtQteRMWPiBWLzaj85EkWOj7WguUu56vUqSR+1Mx7LQmoF2LVXf5eQQpsOuTrp9On99pqWe&#10;XteHj5e6Qby/m5+fQEWa418YrviCDoUwnfzENqgeQY5EhDUo8VbpZgnqdJW6yPV/9OIXAAD//wMA&#10;UEsBAi0AFAAGAAgAAAAhALaDOJL+AAAA4QEAABMAAAAAAAAAAAAAAAAAAAAAAFtDb250ZW50X1R5&#10;cGVzXS54bWxQSwECLQAUAAYACAAAACEAOP0h/9YAAACUAQAACwAAAAAAAAAAAAAAAAAvAQAAX3Jl&#10;bHMvLnJlbHNQSwECLQAUAAYACAAAACEAmQ/eU8ABAAB1AwAADgAAAAAAAAAAAAAAAAAuAgAAZHJz&#10;L2Uyb0RvYy54bWxQSwECLQAUAAYACAAAACEAmBEfYNgAAAACAQAADwAAAAAAAAAAAAAAAAAaBAAA&#10;ZHJzL2Rvd25yZXYueG1sUEsFBgAAAAAEAAQA8wAAAB8FAAAAAA==&#10;" strokecolor="windowText" strokeweight=".5pt">
                <v:stroke joinstyle="miter"/>
                <o:lock v:ext="edit" shapetype="f"/>
                <w10:wrap anchorx="margin"/>
              </v:line>
            </w:pict>
          </mc:Fallback>
        </mc:AlternateContent>
      </w:r>
    </w:p>
    <w:p w14:paraId="54BAE9F7" w14:textId="77777777" w:rsidR="005E52D5" w:rsidRPr="007B79C0" w:rsidRDefault="005E52D5" w:rsidP="005E52D5">
      <w:pPr>
        <w:shd w:val="clear" w:color="auto" w:fill="FFFFFF"/>
        <w:jc w:val="center"/>
        <w:rPr>
          <w:sz w:val="4"/>
          <w:szCs w:val="4"/>
        </w:rPr>
      </w:pPr>
    </w:p>
    <w:p w14:paraId="21AE80D9" w14:textId="621542FF" w:rsidR="005E52D5" w:rsidRPr="0037596D" w:rsidRDefault="005E52D5" w:rsidP="005E52D5">
      <w:pPr>
        <w:shd w:val="clear" w:color="auto" w:fill="FFFFFF"/>
        <w:spacing w:before="120" w:line="234" w:lineRule="atLeast"/>
        <w:jc w:val="center"/>
        <w:rPr>
          <w:b/>
          <w:bCs/>
        </w:rPr>
      </w:pPr>
      <w:r w:rsidRPr="0037596D">
        <w:rPr>
          <w:b/>
          <w:bCs/>
        </w:rPr>
        <w:t>HỘI ĐỒNG NHÂN DÂN TỈNH THÁI NGUYÊN</w:t>
      </w:r>
      <w:r w:rsidRPr="0037596D">
        <w:rPr>
          <w:b/>
          <w:bCs/>
        </w:rPr>
        <w:br/>
        <w:t xml:space="preserve">KHÓA XIV, KỲ HỌP THỨ MƯỜI </w:t>
      </w:r>
      <w:r w:rsidR="00942FF4">
        <w:rPr>
          <w:b/>
          <w:bCs/>
        </w:rPr>
        <w:t>CHÍN</w:t>
      </w:r>
    </w:p>
    <w:p w14:paraId="3E91CFB0" w14:textId="77777777" w:rsidR="005E52D5" w:rsidRPr="0037596D" w:rsidRDefault="005E52D5" w:rsidP="005E52D5">
      <w:pPr>
        <w:shd w:val="clear" w:color="auto" w:fill="FFFFFF"/>
        <w:spacing w:before="120"/>
        <w:jc w:val="center"/>
        <w:rPr>
          <w:sz w:val="6"/>
          <w:szCs w:val="20"/>
        </w:rPr>
      </w:pPr>
    </w:p>
    <w:p w14:paraId="7AD95805" w14:textId="77777777" w:rsidR="005E52D5" w:rsidRDefault="005E52D5" w:rsidP="005E52D5">
      <w:pPr>
        <w:shd w:val="clear" w:color="auto" w:fill="FFFFFF"/>
        <w:spacing w:before="60"/>
        <w:ind w:firstLine="567"/>
        <w:jc w:val="both"/>
        <w:rPr>
          <w:i/>
          <w:iCs/>
        </w:rPr>
      </w:pPr>
      <w:r w:rsidRPr="0037596D">
        <w:rPr>
          <w:i/>
          <w:iCs/>
        </w:rPr>
        <w:t xml:space="preserve">Căn cứ Luật Tổ chức chính quyền địa phương ngày 19 tháng 6 năm 2015; </w:t>
      </w:r>
    </w:p>
    <w:p w14:paraId="41FE4388" w14:textId="77777777" w:rsidR="0010275A" w:rsidRDefault="0010275A" w:rsidP="0010275A">
      <w:pPr>
        <w:shd w:val="clear" w:color="auto" w:fill="FFFFFF"/>
        <w:spacing w:before="60"/>
        <w:ind w:firstLine="567"/>
        <w:jc w:val="both"/>
        <w:rPr>
          <w:rFonts w:ascii="Times New Roman Italic" w:hAnsi="Times New Roman Italic"/>
          <w:i/>
          <w:iCs/>
          <w:spacing w:val="-8"/>
        </w:rPr>
      </w:pPr>
      <w:r w:rsidRPr="0037596D">
        <w:rPr>
          <w:rFonts w:ascii="Times New Roman Italic" w:hAnsi="Times New Roman Italic"/>
          <w:i/>
          <w:iCs/>
          <w:spacing w:val="-8"/>
        </w:rPr>
        <w:t>Căn cứ Luật Ban hành văn bản quy phạm pháp luật ngày 22 tháng 6 năm 2015;</w:t>
      </w:r>
    </w:p>
    <w:p w14:paraId="03DCEB45" w14:textId="2E3F436F" w:rsidR="005E52D5" w:rsidRPr="00212742" w:rsidRDefault="005E52D5" w:rsidP="005E52D5">
      <w:pPr>
        <w:spacing w:before="60" w:line="340" w:lineRule="exact"/>
        <w:ind w:firstLine="567"/>
        <w:jc w:val="both"/>
        <w:rPr>
          <w:i/>
          <w:lang w:val="da-DK"/>
        </w:rPr>
      </w:pPr>
      <w:r w:rsidRPr="0037596D">
        <w:rPr>
          <w:rFonts w:ascii="Times New Roman Italic" w:hAnsi="Times New Roman Italic"/>
          <w:i/>
          <w:iCs/>
          <w:spacing w:val="-8"/>
        </w:rPr>
        <w:t>Căn cứ</w:t>
      </w:r>
      <w:r>
        <w:rPr>
          <w:rFonts w:ascii="Times New Roman Italic" w:hAnsi="Times New Roman Italic"/>
          <w:i/>
          <w:iCs/>
          <w:spacing w:val="-8"/>
        </w:rPr>
        <w:t xml:space="preserve"> </w:t>
      </w:r>
      <w:r w:rsidRPr="00212742">
        <w:rPr>
          <w:i/>
          <w:lang w:val="da-DK"/>
        </w:rPr>
        <w:t xml:space="preserve">Luật </w:t>
      </w:r>
      <w:r w:rsidR="002443B7">
        <w:rPr>
          <w:i/>
          <w:lang w:val="da-DK"/>
        </w:rPr>
        <w:t>s</w:t>
      </w:r>
      <w:r w:rsidRPr="00212742">
        <w:rPr>
          <w:i/>
          <w:lang w:val="da-DK"/>
        </w:rPr>
        <w:t>ửa đổi, bổ sung một số điều của Luật Ban hành văn bản quy phạm pháp luật ngày 18 tháng 06 năm 2020;</w:t>
      </w:r>
    </w:p>
    <w:p w14:paraId="55B6223E" w14:textId="77777777" w:rsidR="005E52D5" w:rsidRPr="0037596D" w:rsidRDefault="005E52D5" w:rsidP="005E52D5">
      <w:pPr>
        <w:spacing w:before="60" w:line="312" w:lineRule="exact"/>
        <w:ind w:firstLine="567"/>
        <w:jc w:val="both"/>
        <w:rPr>
          <w:i/>
          <w:iCs/>
        </w:rPr>
      </w:pPr>
      <w:r w:rsidRPr="0037596D">
        <w:rPr>
          <w:i/>
          <w:iCs/>
        </w:rPr>
        <w:t>Căn cứ Nghị định số 34/2016/NĐ-CP ngày 14 tháng 5 năm 2016 của Chính phủ quy định chi tiết một số điều và biện pháp thi hành Luật Ban hành văn bản quy phạm pháp luật;</w:t>
      </w:r>
    </w:p>
    <w:p w14:paraId="474C9477" w14:textId="77777777" w:rsidR="005E52D5" w:rsidRPr="0037596D" w:rsidRDefault="005E52D5" w:rsidP="005E52D5">
      <w:pPr>
        <w:spacing w:before="60" w:line="312" w:lineRule="exact"/>
        <w:ind w:firstLine="567"/>
        <w:jc w:val="both"/>
        <w:rPr>
          <w:i/>
          <w:iCs/>
        </w:rPr>
      </w:pPr>
      <w:r w:rsidRPr="0037596D">
        <w:rPr>
          <w:i/>
          <w:iCs/>
        </w:rPr>
        <w:t>Căn cứ Nghị định số 154/2020/NĐ-CP ngày 31 tháng 12 năm 2020 của Chính phủ sửa đổi, bổ sung một số điều của Nghị định số </w:t>
      </w:r>
      <w:hyperlink r:id="rId8" w:tgtFrame="_blank" w:tooltip="Nghị định 34/2016/NĐ-CP" w:history="1">
        <w:r w:rsidRPr="0037596D">
          <w:rPr>
            <w:i/>
            <w:iCs/>
          </w:rPr>
          <w:t>34/2016/NĐ-CP</w:t>
        </w:r>
      </w:hyperlink>
      <w:r w:rsidRPr="0037596D">
        <w:rPr>
          <w:i/>
          <w:iCs/>
        </w:rPr>
        <w:t> ngày 14 tháng 5 năm 2016 của Chính phủ quy định chi tiết một số điều và biện pháp thi hành Luật Ban hành văn bản quy phạm pháp luật;</w:t>
      </w:r>
    </w:p>
    <w:p w14:paraId="75B572A3" w14:textId="650DA942" w:rsidR="005E52D5" w:rsidRPr="00942FF4" w:rsidRDefault="005E52D5" w:rsidP="00942FF4">
      <w:pPr>
        <w:widowControl w:val="0"/>
        <w:tabs>
          <w:tab w:val="right" w:leader="dot" w:pos="7920"/>
        </w:tabs>
        <w:spacing w:before="120" w:after="120"/>
        <w:ind w:firstLine="680"/>
        <w:jc w:val="both"/>
        <w:rPr>
          <w:i/>
          <w:iCs/>
          <w:spacing w:val="2"/>
        </w:rPr>
      </w:pPr>
      <w:r w:rsidRPr="00942FF4">
        <w:rPr>
          <w:i/>
          <w:iCs/>
          <w:spacing w:val="2"/>
        </w:rPr>
        <w:t>Xét Tờ trình số …/TTr-UBND ngày … tháng … năm 202</w:t>
      </w:r>
      <w:r w:rsidR="00942FF4" w:rsidRPr="00942FF4">
        <w:rPr>
          <w:i/>
          <w:iCs/>
          <w:spacing w:val="2"/>
        </w:rPr>
        <w:t>4</w:t>
      </w:r>
      <w:r w:rsidRPr="00942FF4">
        <w:rPr>
          <w:i/>
          <w:iCs/>
          <w:spacing w:val="2"/>
        </w:rPr>
        <w:t xml:space="preserve"> của Ủy ban nhân dân tỉnh đề nghị ban hành Nghị quyết </w:t>
      </w:r>
      <w:r w:rsidR="00942FF4" w:rsidRPr="00942FF4">
        <w:rPr>
          <w:i/>
          <w:iCs/>
          <w:spacing w:val="-2"/>
        </w:rPr>
        <w:t xml:space="preserve">Bãi bỏ các nghị quyết của Hội đồng </w:t>
      </w:r>
      <w:r w:rsidR="00295B33">
        <w:rPr>
          <w:i/>
          <w:iCs/>
          <w:spacing w:val="-2"/>
        </w:rPr>
        <w:t>n</w:t>
      </w:r>
      <w:r w:rsidR="00942FF4" w:rsidRPr="00942FF4">
        <w:rPr>
          <w:i/>
          <w:iCs/>
          <w:spacing w:val="-2"/>
        </w:rPr>
        <w:t xml:space="preserve">hân dân tỉnh Thái Nguyên </w:t>
      </w:r>
      <w:r w:rsidRPr="00942FF4">
        <w:rPr>
          <w:i/>
          <w:iCs/>
          <w:spacing w:val="2"/>
        </w:rPr>
        <w:t xml:space="preserve">; Báo cáo thẩm tra số </w:t>
      </w:r>
      <w:r w:rsidR="001A49A8">
        <w:rPr>
          <w:i/>
          <w:iCs/>
          <w:spacing w:val="2"/>
        </w:rPr>
        <w:t>.</w:t>
      </w:r>
      <w:r w:rsidRPr="00942FF4">
        <w:rPr>
          <w:i/>
          <w:iCs/>
          <w:spacing w:val="2"/>
        </w:rPr>
        <w:t>…/BC-HĐND ngày    tháng    năm 202</w:t>
      </w:r>
      <w:r w:rsidR="00942FF4">
        <w:rPr>
          <w:i/>
          <w:iCs/>
          <w:spacing w:val="2"/>
        </w:rPr>
        <w:t>4</w:t>
      </w:r>
      <w:r w:rsidRPr="00942FF4">
        <w:rPr>
          <w:i/>
          <w:iCs/>
          <w:spacing w:val="2"/>
        </w:rPr>
        <w:t xml:space="preserve"> của </w:t>
      </w:r>
      <w:r w:rsidR="004B632A">
        <w:rPr>
          <w:i/>
          <w:iCs/>
          <w:spacing w:val="2"/>
        </w:rPr>
        <w:t xml:space="preserve">Ban Pháp chế </w:t>
      </w:r>
      <w:r w:rsidRPr="00942FF4">
        <w:rPr>
          <w:i/>
          <w:iCs/>
          <w:spacing w:val="2"/>
        </w:rPr>
        <w:t>Hội đồng nhân dân tỉnh và ý kiến thảo luận của đại biểu Hội đồng nhân dân tỉnh tại kỳ họp.</w:t>
      </w:r>
    </w:p>
    <w:p w14:paraId="4CFBC73B" w14:textId="77777777" w:rsidR="005E52D5" w:rsidRPr="00E155D2" w:rsidRDefault="005E52D5" w:rsidP="005E52D5">
      <w:pPr>
        <w:shd w:val="clear" w:color="auto" w:fill="FFFFFF"/>
        <w:ind w:firstLine="567"/>
        <w:jc w:val="both"/>
        <w:rPr>
          <w:i/>
          <w:iCs/>
          <w:sz w:val="12"/>
          <w:szCs w:val="12"/>
        </w:rPr>
      </w:pPr>
    </w:p>
    <w:p w14:paraId="7217118D" w14:textId="77777777" w:rsidR="005E52D5" w:rsidRPr="0037596D" w:rsidRDefault="005E52D5" w:rsidP="005E52D5">
      <w:pPr>
        <w:shd w:val="clear" w:color="auto" w:fill="FFFFFF"/>
        <w:jc w:val="center"/>
        <w:rPr>
          <w:b/>
          <w:bCs/>
        </w:rPr>
      </w:pPr>
      <w:r w:rsidRPr="0037596D">
        <w:rPr>
          <w:b/>
          <w:bCs/>
        </w:rPr>
        <w:t>QUYẾT NGHỊ:</w:t>
      </w:r>
    </w:p>
    <w:p w14:paraId="7A09365F" w14:textId="77777777" w:rsidR="005E52D5" w:rsidRPr="0037596D" w:rsidRDefault="005E52D5" w:rsidP="005E52D5">
      <w:pPr>
        <w:shd w:val="clear" w:color="auto" w:fill="FFFFFF"/>
        <w:jc w:val="center"/>
        <w:rPr>
          <w:b/>
          <w:bCs/>
          <w:sz w:val="8"/>
          <w:szCs w:val="8"/>
        </w:rPr>
      </w:pPr>
    </w:p>
    <w:p w14:paraId="4E77C6EF" w14:textId="05217021" w:rsidR="005E52D5" w:rsidRPr="00EE0B05" w:rsidRDefault="005E52D5" w:rsidP="00EE0B05">
      <w:pPr>
        <w:pStyle w:val="BodyTextIndent2"/>
        <w:spacing w:before="120" w:line="240" w:lineRule="auto"/>
        <w:ind w:left="0" w:firstLine="567"/>
        <w:jc w:val="both"/>
        <w:rPr>
          <w:rFonts w:eastAsia="Calibri"/>
          <w:b/>
          <w:spacing w:val="-4"/>
          <w:lang w:val="nl-NL"/>
        </w:rPr>
      </w:pPr>
      <w:bookmarkStart w:id="2" w:name="dieu_2"/>
      <w:bookmarkStart w:id="3" w:name="_Hlk95221728"/>
      <w:r w:rsidRPr="00EE0B05">
        <w:rPr>
          <w:rFonts w:eastAsia="Calibri"/>
          <w:b/>
          <w:spacing w:val="-4"/>
          <w:lang w:val="nl-NL"/>
        </w:rPr>
        <w:t>Điều 1.</w:t>
      </w:r>
      <w:r w:rsidRPr="00EE0B05">
        <w:rPr>
          <w:rFonts w:eastAsia="Calibri"/>
          <w:spacing w:val="-4"/>
          <w:lang w:val="nl-NL"/>
        </w:rPr>
        <w:t xml:space="preserve"> </w:t>
      </w:r>
      <w:r w:rsidR="00942FF4" w:rsidRPr="00EE0B05">
        <w:rPr>
          <w:rFonts w:eastAsia="Calibri"/>
          <w:b/>
          <w:spacing w:val="-4"/>
          <w:lang w:val="nl-NL"/>
        </w:rPr>
        <w:t>Bãi bỏ toàn bộ các nghị quyết</w:t>
      </w:r>
    </w:p>
    <w:p w14:paraId="577D7650" w14:textId="1054A4BF" w:rsidR="00942FF4" w:rsidRPr="00EE0B05" w:rsidRDefault="00942FF4" w:rsidP="00EE0B05">
      <w:pPr>
        <w:pStyle w:val="BodyTextIndent2"/>
        <w:spacing w:before="120" w:line="240" w:lineRule="auto"/>
        <w:ind w:left="0" w:firstLine="567"/>
        <w:jc w:val="both"/>
        <w:rPr>
          <w:rFonts w:eastAsia="Calibri"/>
          <w:bCs/>
          <w:spacing w:val="-4"/>
          <w:lang w:val="nl-NL"/>
        </w:rPr>
      </w:pPr>
      <w:r w:rsidRPr="00EE0B05">
        <w:rPr>
          <w:rFonts w:eastAsia="Calibri"/>
          <w:bCs/>
          <w:spacing w:val="-4"/>
          <w:lang w:val="nl-NL"/>
        </w:rPr>
        <w:t>Bãi bỏ toàn bộ các nghị quyết sau đây:</w:t>
      </w:r>
    </w:p>
    <w:p w14:paraId="1C00C307" w14:textId="7AD2B94B" w:rsidR="004E5E98" w:rsidRPr="00EE0B05" w:rsidRDefault="004E5E98" w:rsidP="00EE0B05">
      <w:pPr>
        <w:pStyle w:val="BodyTextIndent2"/>
        <w:spacing w:before="120" w:line="240" w:lineRule="auto"/>
        <w:ind w:left="0" w:firstLine="567"/>
        <w:jc w:val="both"/>
      </w:pPr>
      <w:r w:rsidRPr="00EE0B05">
        <w:rPr>
          <w:rFonts w:eastAsia="Calibri"/>
          <w:bCs/>
          <w:spacing w:val="-4"/>
          <w:lang w:val="nl-NL"/>
        </w:rPr>
        <w:t xml:space="preserve">1. </w:t>
      </w:r>
      <w:r w:rsidRPr="00EE0B05">
        <w:t xml:space="preserve">Nghị quyết </w:t>
      </w:r>
      <w:r w:rsidR="00EE0B05">
        <w:t xml:space="preserve">số </w:t>
      </w:r>
      <w:r w:rsidRPr="00EE0B05">
        <w:rPr>
          <w:lang w:val="nl-NL"/>
        </w:rPr>
        <w:t xml:space="preserve">21/2009/NQ-HĐND ngày </w:t>
      </w:r>
      <w:r w:rsidRPr="00EE0B05">
        <w:t xml:space="preserve">12/12/2009 </w:t>
      </w:r>
      <w:r w:rsidR="00EE0B05">
        <w:t>của HĐND tỉnh v</w:t>
      </w:r>
      <w:r w:rsidRPr="00EE0B05">
        <w:t>ề việc điều chỉnh dự toán ngân sách năm 2009 và dự toán ngân sách năm 2010 tỉnh Thái Nguyên; điều chỉnh tỷ lệ điều tiết thu phí môi trường đối với khai thác tài nguyên khoáng sản.</w:t>
      </w:r>
    </w:p>
    <w:p w14:paraId="43E10B24" w14:textId="784E2F9C" w:rsidR="00B5427C" w:rsidRDefault="004E5E98" w:rsidP="00EE0B05">
      <w:pPr>
        <w:pStyle w:val="BodyTextIndent2"/>
        <w:spacing w:before="120" w:line="240" w:lineRule="auto"/>
        <w:ind w:left="0" w:firstLine="567"/>
        <w:jc w:val="both"/>
      </w:pPr>
      <w:r w:rsidRPr="00EE0B05">
        <w:t xml:space="preserve">2. </w:t>
      </w:r>
      <w:r w:rsidR="00B5427C" w:rsidRPr="00EE0B05">
        <w:t xml:space="preserve">Nghị quyết </w:t>
      </w:r>
      <w:r w:rsidR="00B5427C">
        <w:t xml:space="preserve">số </w:t>
      </w:r>
      <w:r w:rsidR="00B5427C" w:rsidRPr="00EE0B05">
        <w:t xml:space="preserve">01/2011/NQ-HĐND ngày 03/4/2011 </w:t>
      </w:r>
      <w:r w:rsidR="00B5427C">
        <w:t xml:space="preserve">của HĐND tỉnh </w:t>
      </w:r>
      <w:r w:rsidR="00B5427C" w:rsidRPr="00EE0B05">
        <w:t>Thông qua đồ án quy hoạch xây dựng vùng du lịch quốc gia Hồ Núi Cốc tỉnh Thái Nguyên đến năm 2020 tầm nhìn đến năm 2030</w:t>
      </w:r>
      <w:r w:rsidR="00295B33">
        <w:t>.</w:t>
      </w:r>
    </w:p>
    <w:p w14:paraId="0A1D03C5" w14:textId="264320CD" w:rsidR="008434FE" w:rsidRPr="00EE0B05" w:rsidRDefault="00B5427C" w:rsidP="00EE0B05">
      <w:pPr>
        <w:pStyle w:val="BodyTextIndent2"/>
        <w:spacing w:before="120" w:line="240" w:lineRule="auto"/>
        <w:ind w:left="0" w:firstLine="567"/>
        <w:jc w:val="both"/>
      </w:pPr>
      <w:r>
        <w:t xml:space="preserve">3. </w:t>
      </w:r>
      <w:r w:rsidR="00EE0B05" w:rsidRPr="00EE0B05">
        <w:t xml:space="preserve">Nghị quyết </w:t>
      </w:r>
      <w:r w:rsidR="00EE0B05">
        <w:t xml:space="preserve">số </w:t>
      </w:r>
      <w:r w:rsidR="008434FE" w:rsidRPr="00EE0B05">
        <w:t xml:space="preserve">34/2011/NQ-HĐND ngày 12/12/2011 </w:t>
      </w:r>
      <w:r w:rsidR="00EE0B05">
        <w:t>của HĐND tỉnh v</w:t>
      </w:r>
      <w:r w:rsidR="00EE0B05" w:rsidRPr="00EE0B05">
        <w:t>ề</w:t>
      </w:r>
      <w:r w:rsidR="008434FE" w:rsidRPr="00EE0B05">
        <w:t xml:space="preserve"> việc thông qua Đề án đào tạo nghề cho lao động nông thôn đến năm 2020 tỉnh Thái Nguyên</w:t>
      </w:r>
      <w:r w:rsidR="00295B33">
        <w:t>.</w:t>
      </w:r>
    </w:p>
    <w:p w14:paraId="1881F039" w14:textId="6A857D63" w:rsidR="004E5E98" w:rsidRPr="00EE0B05" w:rsidRDefault="00B5427C" w:rsidP="00EE0B05">
      <w:pPr>
        <w:pStyle w:val="BodyTextIndent2"/>
        <w:spacing w:before="120" w:line="240" w:lineRule="auto"/>
        <w:ind w:left="0" w:firstLine="567"/>
        <w:jc w:val="both"/>
        <w:rPr>
          <w:spacing w:val="-4"/>
        </w:rPr>
      </w:pPr>
      <w:r>
        <w:lastRenderedPageBreak/>
        <w:t>4</w:t>
      </w:r>
      <w:r w:rsidR="00EE0B05">
        <w:t xml:space="preserve">. </w:t>
      </w:r>
      <w:r w:rsidR="00EE0B05" w:rsidRPr="00EE0B05">
        <w:t xml:space="preserve">Nghị quyết </w:t>
      </w:r>
      <w:r w:rsidR="00EE0B05">
        <w:t xml:space="preserve">số </w:t>
      </w:r>
      <w:r w:rsidR="004E5E98" w:rsidRPr="00EE0B05">
        <w:t xml:space="preserve">06/2012/NQ-HĐND ngày 19/7/2012 </w:t>
      </w:r>
      <w:r w:rsidR="00EE0B05">
        <w:t>của HĐND tỉnh v</w:t>
      </w:r>
      <w:r w:rsidR="00EE0B05" w:rsidRPr="00EE0B05">
        <w:t>ề</w:t>
      </w:r>
      <w:r w:rsidR="004E5E98" w:rsidRPr="00EE0B05">
        <w:rPr>
          <w:spacing w:val="-4"/>
        </w:rPr>
        <w:t xml:space="preserve"> việc thông qua Đề án nâng cao năng lực quản lý nhà nước về đất đai trên địa bàn tỉnh Thái Nguyên giai đoạn 2012-2016 định hướng đến năm 2019</w:t>
      </w:r>
      <w:r w:rsidR="00295B33">
        <w:rPr>
          <w:spacing w:val="-4"/>
        </w:rPr>
        <w:t>.</w:t>
      </w:r>
    </w:p>
    <w:p w14:paraId="0EE1B988" w14:textId="34168326" w:rsidR="004E5E98" w:rsidRPr="00EE0B05" w:rsidRDefault="00B5427C" w:rsidP="00EE0B05">
      <w:pPr>
        <w:pStyle w:val="BodyTextIndent2"/>
        <w:spacing w:before="120" w:line="240" w:lineRule="auto"/>
        <w:ind w:left="0" w:firstLine="567"/>
        <w:jc w:val="both"/>
        <w:rPr>
          <w:spacing w:val="-6"/>
        </w:rPr>
      </w:pPr>
      <w:r>
        <w:rPr>
          <w:spacing w:val="-4"/>
        </w:rPr>
        <w:t>5</w:t>
      </w:r>
      <w:r w:rsidR="004E5E98" w:rsidRPr="00EE0B05">
        <w:rPr>
          <w:spacing w:val="-4"/>
        </w:rPr>
        <w:t xml:space="preserve">. </w:t>
      </w:r>
      <w:r w:rsidR="00EE0B05" w:rsidRPr="00EE0B05">
        <w:t xml:space="preserve">Nghị quyết </w:t>
      </w:r>
      <w:r w:rsidR="00EE0B05">
        <w:t xml:space="preserve">số </w:t>
      </w:r>
      <w:r w:rsidR="004E5E98" w:rsidRPr="00EE0B05">
        <w:t xml:space="preserve">07/2012/NQ-HĐND ngày 19/7/2012 </w:t>
      </w:r>
      <w:r w:rsidR="00EE0B05">
        <w:t>của HĐND tỉnh v</w:t>
      </w:r>
      <w:r w:rsidR="00EE0B05" w:rsidRPr="00EE0B05">
        <w:t>ề</w:t>
      </w:r>
      <w:r w:rsidR="004E5E98" w:rsidRPr="00EE0B05">
        <w:rPr>
          <w:spacing w:val="-6"/>
        </w:rPr>
        <w:t xml:space="preserve"> việc thông qua quy hoạch sử dụng đất đến năm 2020 và kế hoạch sử dụng đất 5 năm kỳ đầu (2011-2015) tỉnh Thái Nguyên.</w:t>
      </w:r>
    </w:p>
    <w:p w14:paraId="2FA32F73" w14:textId="741B77C6" w:rsidR="008434FE" w:rsidRPr="00EE0B05" w:rsidRDefault="00B5427C" w:rsidP="00EE0B05">
      <w:pPr>
        <w:pStyle w:val="BodyTextIndent2"/>
        <w:spacing w:before="120" w:line="240" w:lineRule="auto"/>
        <w:ind w:left="0" w:firstLine="567"/>
        <w:jc w:val="both"/>
        <w:rPr>
          <w:spacing w:val="-6"/>
        </w:rPr>
      </w:pPr>
      <w:r>
        <w:t>6</w:t>
      </w:r>
      <w:r w:rsidR="00EE0B05">
        <w:t xml:space="preserve">. </w:t>
      </w:r>
      <w:r w:rsidR="00EE0B05" w:rsidRPr="00EE0B05">
        <w:t xml:space="preserve">Nghị quyết </w:t>
      </w:r>
      <w:r w:rsidR="00EE0B05">
        <w:t xml:space="preserve">số </w:t>
      </w:r>
      <w:r w:rsidR="008434FE" w:rsidRPr="00EE0B05">
        <w:t xml:space="preserve">11/2012/NQ-HĐND ngày 19/7/2012 </w:t>
      </w:r>
      <w:r w:rsidR="00EE0B05">
        <w:t>của HĐND tỉnh v</w:t>
      </w:r>
      <w:r w:rsidR="00EE0B05" w:rsidRPr="00EE0B05">
        <w:t>ề</w:t>
      </w:r>
      <w:r w:rsidR="008434FE" w:rsidRPr="00EE0B05">
        <w:t xml:space="preserve"> việc thông qua đề án củng cố và hoàn thiện mạng lưới y tế cơ sở tỉnh Thái Nguyên đến năm 2020</w:t>
      </w:r>
    </w:p>
    <w:p w14:paraId="2E383767" w14:textId="059D5686" w:rsidR="008434FE" w:rsidRPr="00EE0B05" w:rsidRDefault="00B5427C" w:rsidP="00EE0B05">
      <w:pPr>
        <w:pStyle w:val="BodyTextIndent2"/>
        <w:spacing w:before="120" w:line="240" w:lineRule="auto"/>
        <w:ind w:left="0" w:firstLine="567"/>
        <w:jc w:val="both"/>
        <w:rPr>
          <w:bCs/>
        </w:rPr>
      </w:pPr>
      <w:r>
        <w:t>7</w:t>
      </w:r>
      <w:r w:rsidR="00EE0B05">
        <w:t xml:space="preserve">. </w:t>
      </w:r>
      <w:r w:rsidR="00EE0B05" w:rsidRPr="00EE0B05">
        <w:t xml:space="preserve">Nghị quyết </w:t>
      </w:r>
      <w:r w:rsidR="00EE0B05">
        <w:t xml:space="preserve">số </w:t>
      </w:r>
      <w:r w:rsidR="008434FE" w:rsidRPr="00EE0B05">
        <w:rPr>
          <w:bCs/>
        </w:rPr>
        <w:t xml:space="preserve">13/2012/NQ-HĐND ngày 19/7/2012 </w:t>
      </w:r>
      <w:r w:rsidR="00EE0B05">
        <w:t>của HĐND tỉnh v</w:t>
      </w:r>
      <w:r w:rsidR="00EE0B05" w:rsidRPr="00EE0B05">
        <w:t>ề</w:t>
      </w:r>
      <w:r w:rsidR="008434FE" w:rsidRPr="00EE0B05">
        <w:rPr>
          <w:bCs/>
        </w:rPr>
        <w:t xml:space="preserve"> việc thông qua Đề án quy hoạch mạng lưới cơ sở dạy nghề tỉnh Thái Nguyên đến năm 2020</w:t>
      </w:r>
    </w:p>
    <w:p w14:paraId="25EA6F01" w14:textId="0D9B2AC0" w:rsidR="00B5427C" w:rsidRDefault="00B5427C" w:rsidP="00EE0B05">
      <w:pPr>
        <w:pStyle w:val="BodyTextIndent2"/>
        <w:spacing w:before="120" w:line="240" w:lineRule="auto"/>
        <w:ind w:left="0" w:firstLine="567"/>
        <w:jc w:val="both"/>
      </w:pPr>
      <w:r>
        <w:t>8</w:t>
      </w:r>
      <w:r w:rsidR="00EE0B05">
        <w:t xml:space="preserve">. </w:t>
      </w:r>
      <w:r w:rsidRPr="00EE0B05">
        <w:t xml:space="preserve">Nghị quyết </w:t>
      </w:r>
      <w:r>
        <w:t xml:space="preserve">số </w:t>
      </w:r>
      <w:r w:rsidRPr="00EE0B05">
        <w:t xml:space="preserve">01/2013/NQ-HĐND ngày 26/4/2013 </w:t>
      </w:r>
      <w:r>
        <w:t xml:space="preserve">của HĐND tỉnh </w:t>
      </w:r>
      <w:r w:rsidRPr="00EE0B05">
        <w:rPr>
          <w:spacing w:val="4"/>
        </w:rPr>
        <w:t>Thông qua Đề án “Quy hoạch tổng thể phát triển kinh tế - xã hội tỉnh Thái Nguyên đến năm 2020 và tầm nhìn đến năm 2030”.</w:t>
      </w:r>
    </w:p>
    <w:p w14:paraId="686F53FD" w14:textId="364B445F" w:rsidR="00B5427C" w:rsidRDefault="00B5427C" w:rsidP="00EE0B05">
      <w:pPr>
        <w:pStyle w:val="BodyTextIndent2"/>
        <w:spacing w:before="120" w:line="240" w:lineRule="auto"/>
        <w:ind w:left="0" w:firstLine="567"/>
        <w:jc w:val="both"/>
      </w:pPr>
      <w:r>
        <w:rPr>
          <w:spacing w:val="-6"/>
        </w:rPr>
        <w:t>9</w:t>
      </w:r>
      <w:r w:rsidR="004E5E98" w:rsidRPr="00EE0B05">
        <w:rPr>
          <w:spacing w:val="-6"/>
        </w:rPr>
        <w:t xml:space="preserve">. </w:t>
      </w:r>
      <w:r w:rsidRPr="00EE0B05">
        <w:t xml:space="preserve">Nghị quyết </w:t>
      </w:r>
      <w:r>
        <w:t xml:space="preserve">số </w:t>
      </w:r>
      <w:r w:rsidRPr="00EE0B05">
        <w:t xml:space="preserve">02/2013/NQ-HĐND  ngày 26/4/2013 </w:t>
      </w:r>
      <w:r>
        <w:t xml:space="preserve">của HĐND tỉnh </w:t>
      </w:r>
      <w:r w:rsidRPr="00EE0B05">
        <w:t>Thông qua chương trình hành động “Xây dựng kết cấu hạ tầng đồng bộ phục vụ mục tiêu xây dựng tỉnh Thái Nguyên thành tỉnh công nghiệp theo hướng hiện đại trước năm 2020”.</w:t>
      </w:r>
    </w:p>
    <w:p w14:paraId="05C3D09D" w14:textId="2B17B429" w:rsidR="00B5427C" w:rsidRDefault="00B5427C" w:rsidP="00B5427C">
      <w:pPr>
        <w:pStyle w:val="BodyTextIndent2"/>
        <w:spacing w:before="120" w:line="240" w:lineRule="auto"/>
        <w:ind w:left="0" w:firstLine="567"/>
        <w:jc w:val="both"/>
      </w:pPr>
      <w:r>
        <w:t xml:space="preserve">10. </w:t>
      </w:r>
      <w:r w:rsidRPr="00EE0B05">
        <w:t xml:space="preserve">Nghị quyết </w:t>
      </w:r>
      <w:r>
        <w:t xml:space="preserve">số </w:t>
      </w:r>
      <w:r w:rsidRPr="00EE0B05">
        <w:t xml:space="preserve">04/2013/NQ-HĐND ngày 26/04/2013 </w:t>
      </w:r>
      <w:r>
        <w:t xml:space="preserve">của HĐND tỉnh </w:t>
      </w:r>
      <w:r w:rsidRPr="00EE0B05">
        <w:t>Thông qua đề án phát triển y tế chuyên sâu tỉnh Thái Nguyên đến năm 2020</w:t>
      </w:r>
      <w:r>
        <w:t>.</w:t>
      </w:r>
    </w:p>
    <w:p w14:paraId="15A58A2F" w14:textId="5FD42B0D" w:rsidR="00B5427C" w:rsidRPr="00EE0B05" w:rsidRDefault="00B5427C" w:rsidP="00B5427C">
      <w:pPr>
        <w:pStyle w:val="BodyTextIndent2"/>
        <w:spacing w:before="120" w:line="240" w:lineRule="auto"/>
        <w:ind w:left="0" w:firstLine="567"/>
        <w:jc w:val="both"/>
        <w:rPr>
          <w:spacing w:val="-6"/>
        </w:rPr>
      </w:pPr>
      <w:r>
        <w:t xml:space="preserve">11. </w:t>
      </w:r>
      <w:r w:rsidRPr="00EE0B05">
        <w:t xml:space="preserve">Nghị quyết </w:t>
      </w:r>
      <w:r>
        <w:t xml:space="preserve">số </w:t>
      </w:r>
      <w:r w:rsidRPr="00EE0B05">
        <w:t xml:space="preserve">28/2013/NQ-HĐND ngày 12/12/2013 </w:t>
      </w:r>
      <w:r>
        <w:t xml:space="preserve">của HĐND tỉnh </w:t>
      </w:r>
      <w:r w:rsidRPr="00EE0B05">
        <w:t>Thông qua đề án “Tiếp tục đổi mới và nâng cao năng lực hiệu quả hoạt động của Hội đồng nhân dân tỉnh Thái Nguyên”</w:t>
      </w:r>
    </w:p>
    <w:p w14:paraId="4094697E" w14:textId="1A89492F" w:rsidR="004E5E98" w:rsidRPr="00EE0B05" w:rsidRDefault="00EE0B05" w:rsidP="00EE0B05">
      <w:pPr>
        <w:pStyle w:val="BodyTextIndent2"/>
        <w:spacing w:before="120" w:line="240" w:lineRule="auto"/>
        <w:ind w:left="0" w:firstLine="567"/>
        <w:jc w:val="both"/>
      </w:pPr>
      <w:r>
        <w:rPr>
          <w:spacing w:val="4"/>
        </w:rPr>
        <w:t>1</w:t>
      </w:r>
      <w:r w:rsidR="00B5427C">
        <w:rPr>
          <w:spacing w:val="4"/>
        </w:rPr>
        <w:t>2</w:t>
      </w:r>
      <w:r w:rsidR="004E5E98" w:rsidRPr="00EE0B05">
        <w:rPr>
          <w:spacing w:val="4"/>
        </w:rPr>
        <w:t xml:space="preserve">. </w:t>
      </w:r>
      <w:r w:rsidR="00B5427C" w:rsidRPr="00EE0B05">
        <w:t xml:space="preserve">Nghị quyết </w:t>
      </w:r>
      <w:r w:rsidR="00B5427C">
        <w:t xml:space="preserve">số </w:t>
      </w:r>
      <w:r w:rsidR="00B5427C" w:rsidRPr="00EE0B05">
        <w:t xml:space="preserve">39/2014/NQ-HĐND ngày 18/05/2014 </w:t>
      </w:r>
      <w:r w:rsidR="00B5427C">
        <w:t xml:space="preserve">của HĐND tỉnh </w:t>
      </w:r>
      <w:r w:rsidR="00B5427C" w:rsidRPr="00EE0B05">
        <w:t>Thông qua đề án bảo tồn phát triển văn hóa các dân tộc thiểu số tỉnh Thái Nguyên đến năm 2020</w:t>
      </w:r>
      <w:r w:rsidR="00B5427C">
        <w:t>.</w:t>
      </w:r>
    </w:p>
    <w:p w14:paraId="2DD9D698" w14:textId="06933103" w:rsidR="00B5427C" w:rsidRPr="00EE0B05" w:rsidRDefault="00EE0B05" w:rsidP="00B5427C">
      <w:pPr>
        <w:pStyle w:val="BodyTextIndent2"/>
        <w:spacing w:before="120" w:line="240" w:lineRule="auto"/>
        <w:ind w:left="0" w:firstLine="567"/>
        <w:jc w:val="both"/>
        <w:rPr>
          <w:spacing w:val="-6"/>
          <w:lang w:val="en-US"/>
        </w:rPr>
      </w:pPr>
      <w:r>
        <w:t>1</w:t>
      </w:r>
      <w:r w:rsidR="00B5427C">
        <w:t>3</w:t>
      </w:r>
      <w:r>
        <w:t xml:space="preserve">. </w:t>
      </w:r>
      <w:r w:rsidR="00B5427C" w:rsidRPr="00EE0B05">
        <w:t xml:space="preserve">Nghị quyết </w:t>
      </w:r>
      <w:r w:rsidR="00B5427C">
        <w:t xml:space="preserve">số </w:t>
      </w:r>
      <w:r w:rsidR="00B5427C" w:rsidRPr="00EE0B05">
        <w:rPr>
          <w:kern w:val="2"/>
          <w:lang w:val="vi-VN"/>
        </w:rPr>
        <w:t>40/2014/NQ-HĐND ngày 18/5/2014</w:t>
      </w:r>
      <w:r w:rsidR="00B5427C" w:rsidRPr="00EE0B05">
        <w:rPr>
          <w:kern w:val="2"/>
          <w:lang w:val="en-US"/>
        </w:rPr>
        <w:t xml:space="preserve"> </w:t>
      </w:r>
      <w:r w:rsidR="00B5427C">
        <w:t xml:space="preserve">của HĐND tỉnh </w:t>
      </w:r>
      <w:r w:rsidR="00B5427C" w:rsidRPr="00EE0B05">
        <w:rPr>
          <w:kern w:val="2"/>
          <w:lang w:val="vi-VN"/>
        </w:rPr>
        <w:t>Thông qua đề án phát triển công nghiệp công nghệ thông tin và điện tử phục vụ sự nghiệp công nghiệp hóa hiện đại hóa tỉnh Thái Nguyên đến năm 2020</w:t>
      </w:r>
    </w:p>
    <w:p w14:paraId="7ED41546" w14:textId="45B37A34" w:rsidR="00EE0B05" w:rsidRDefault="00EE0B05" w:rsidP="00EE0B05">
      <w:pPr>
        <w:pStyle w:val="BodyTextIndent2"/>
        <w:spacing w:before="120" w:line="240" w:lineRule="auto"/>
        <w:ind w:left="0" w:firstLine="567"/>
        <w:jc w:val="both"/>
      </w:pPr>
      <w:r>
        <w:t>1</w:t>
      </w:r>
      <w:r w:rsidR="00B5427C">
        <w:t>4</w:t>
      </w:r>
      <w:r>
        <w:t xml:space="preserve">. </w:t>
      </w:r>
      <w:r w:rsidRPr="00EE0B05">
        <w:t xml:space="preserve">Nghị quyết </w:t>
      </w:r>
      <w:r>
        <w:t xml:space="preserve">số </w:t>
      </w:r>
      <w:r w:rsidRPr="00EE0B05">
        <w:t xml:space="preserve">41/2014/NQ-HĐND ngày 18/05/2014 </w:t>
      </w:r>
      <w:r>
        <w:t>của HĐND tỉnh v</w:t>
      </w:r>
      <w:r w:rsidRPr="00EE0B05">
        <w:t>ề việc thông qua quy hoạch phân bổ, quản lý và bảo vệ tài nguyên nước mặt tỉnh Thái Nguyên đến năm 2020, định hướng đến năm 2030.</w:t>
      </w:r>
    </w:p>
    <w:p w14:paraId="7842F663" w14:textId="4C6D1433" w:rsidR="00B5427C" w:rsidRPr="00EE0B05" w:rsidRDefault="00B5427C" w:rsidP="00EE0B05">
      <w:pPr>
        <w:pStyle w:val="BodyTextIndent2"/>
        <w:spacing w:before="120" w:line="240" w:lineRule="auto"/>
        <w:ind w:left="0" w:firstLine="567"/>
        <w:jc w:val="both"/>
      </w:pPr>
      <w:r>
        <w:t xml:space="preserve">15. </w:t>
      </w:r>
      <w:r w:rsidRPr="00EE0B05">
        <w:t xml:space="preserve">Nghị quyết </w:t>
      </w:r>
      <w:r>
        <w:t xml:space="preserve">số </w:t>
      </w:r>
      <w:r w:rsidRPr="00EE0B05">
        <w:t xml:space="preserve">49/2014/NQ-HĐND ngày 25/7/2014 </w:t>
      </w:r>
      <w:r>
        <w:t xml:space="preserve">của HĐND tỉnh </w:t>
      </w:r>
      <w:r w:rsidRPr="00EE0B05">
        <w:t>Thông qua nhiệm vụ quy hoạch xây dựng vùng tỉnh Thái Nguyên đến năm 2035.</w:t>
      </w:r>
    </w:p>
    <w:p w14:paraId="3C7B3865" w14:textId="75161A5F" w:rsidR="008434FE" w:rsidRPr="00EE0B05" w:rsidRDefault="00EE0B05" w:rsidP="00EE0B05">
      <w:pPr>
        <w:pStyle w:val="BodyTextIndent2"/>
        <w:spacing w:before="120" w:line="240" w:lineRule="auto"/>
        <w:ind w:left="0" w:firstLine="567"/>
        <w:jc w:val="both"/>
      </w:pPr>
      <w:r>
        <w:t>1</w:t>
      </w:r>
      <w:r w:rsidR="00B5427C">
        <w:t>6</w:t>
      </w:r>
      <w:r>
        <w:t xml:space="preserve">. </w:t>
      </w:r>
      <w:r w:rsidRPr="00EE0B05">
        <w:t xml:space="preserve">Nghị quyết </w:t>
      </w:r>
      <w:r>
        <w:t xml:space="preserve">số </w:t>
      </w:r>
      <w:r w:rsidR="008434FE" w:rsidRPr="00EE0B05">
        <w:t xml:space="preserve">65/2014/NQ-HĐND ngày 12/12/2014 </w:t>
      </w:r>
      <w:r>
        <w:t>của HĐND tỉnh v</w:t>
      </w:r>
      <w:r w:rsidRPr="00EE0B05">
        <w:t>ề</w:t>
      </w:r>
      <w:r w:rsidR="008434FE" w:rsidRPr="00EE0B05">
        <w:rPr>
          <w:spacing w:val="-6"/>
        </w:rPr>
        <w:t xml:space="preserve"> việc thông qua Đề án duy trì và mở rộng chương trình điều trị nghiện các chất các dạng thuốc phiện bằng thuốc Methadone trên địa bàn tỉnh Thái Nguyên giai đoạn 2015 -2020</w:t>
      </w:r>
    </w:p>
    <w:p w14:paraId="3E99F085" w14:textId="1EF926CD" w:rsidR="00B5427C" w:rsidRPr="00EE0B05" w:rsidRDefault="00EE0B05" w:rsidP="00B5427C">
      <w:pPr>
        <w:pStyle w:val="BodyTextIndent2"/>
        <w:spacing w:before="120" w:line="240" w:lineRule="auto"/>
        <w:ind w:left="0" w:firstLine="567"/>
        <w:jc w:val="both"/>
      </w:pPr>
      <w:r>
        <w:lastRenderedPageBreak/>
        <w:t>1</w:t>
      </w:r>
      <w:r w:rsidR="00B5427C">
        <w:t>7</w:t>
      </w:r>
      <w:r w:rsidR="00B5427C" w:rsidRPr="00EE0B05">
        <w:t xml:space="preserve">. Nghị quyết </w:t>
      </w:r>
      <w:r w:rsidR="00B5427C">
        <w:t xml:space="preserve">số </w:t>
      </w:r>
      <w:r w:rsidR="00B5427C" w:rsidRPr="00EE0B05">
        <w:t xml:space="preserve">67/2015/NQ-HĐND ngày 12/5/2015 </w:t>
      </w:r>
      <w:r w:rsidR="00B5427C">
        <w:t xml:space="preserve">của HĐND tỉnh </w:t>
      </w:r>
      <w:r w:rsidR="00B5427C" w:rsidRPr="00EE0B05">
        <w:t>Thông qua quy hoạch xây dựng vùng tỉnh Thái Nguyên đến năm 2035.</w:t>
      </w:r>
    </w:p>
    <w:p w14:paraId="32ACF708" w14:textId="2E52259B" w:rsidR="00B5427C" w:rsidRPr="00EE0B05" w:rsidRDefault="00B5427C" w:rsidP="00B5427C">
      <w:pPr>
        <w:pStyle w:val="BodyTextIndent2"/>
        <w:spacing w:before="120" w:line="240" w:lineRule="auto"/>
        <w:ind w:left="0" w:firstLine="567"/>
        <w:jc w:val="both"/>
      </w:pPr>
      <w:r>
        <w:t>18</w:t>
      </w:r>
      <w:r w:rsidRPr="00EE0B05">
        <w:t xml:space="preserve">. Nghị quyết </w:t>
      </w:r>
      <w:r>
        <w:t xml:space="preserve">số </w:t>
      </w:r>
      <w:r w:rsidRPr="00EE0B05">
        <w:t xml:space="preserve">69/2015/NQ-HĐND ngày 12/05/2015 </w:t>
      </w:r>
      <w:r>
        <w:t xml:space="preserve">của HĐND tỉnh </w:t>
      </w:r>
      <w:r w:rsidRPr="00EE0B05">
        <w:t>Thông qua quy hoạch thăm dò khai thác sử dụng khoáng sản làm vật liệu xây dựng thông thường trên địa bàn tỉnh Thái Nguyên đến năm 2020, tầm nhìn 2025.</w:t>
      </w:r>
    </w:p>
    <w:p w14:paraId="66799E2F" w14:textId="02D99F4D" w:rsidR="004E5E98" w:rsidRPr="00EE0B05" w:rsidRDefault="00B5427C" w:rsidP="00EE0B05">
      <w:pPr>
        <w:pStyle w:val="BodyTextIndent2"/>
        <w:spacing w:before="120" w:line="240" w:lineRule="auto"/>
        <w:ind w:left="0" w:firstLine="567"/>
        <w:jc w:val="both"/>
      </w:pPr>
      <w:r>
        <w:t xml:space="preserve">19. </w:t>
      </w:r>
      <w:r w:rsidR="00EE0B05" w:rsidRPr="00EE0B05">
        <w:t xml:space="preserve">Nghị quyết </w:t>
      </w:r>
      <w:r w:rsidR="00EE0B05">
        <w:t xml:space="preserve">số </w:t>
      </w:r>
      <w:r w:rsidR="004E5E98" w:rsidRPr="00EE0B05">
        <w:t xml:space="preserve">71/2015/NQ-HĐND ngày 12/5/2015 </w:t>
      </w:r>
      <w:r w:rsidR="00EE0B05">
        <w:t xml:space="preserve">của HĐND tỉnh </w:t>
      </w:r>
      <w:r w:rsidR="004E5E98" w:rsidRPr="00EE0B05">
        <w:t>Thông qua quy hoạch tổng thể phát triển kết cấu hạ tầng tỉnh Thái Nguyên đến năm 2020, tầm nhìn đến năm 2030.</w:t>
      </w:r>
    </w:p>
    <w:p w14:paraId="79120DBB" w14:textId="28AD3320" w:rsidR="004E5E98" w:rsidRPr="00EE0B05" w:rsidRDefault="00B5427C" w:rsidP="00EE0B05">
      <w:pPr>
        <w:pStyle w:val="BodyTextIndent2"/>
        <w:spacing w:before="120" w:line="240" w:lineRule="auto"/>
        <w:ind w:left="0" w:firstLine="567"/>
        <w:jc w:val="both"/>
      </w:pPr>
      <w:r>
        <w:t>20</w:t>
      </w:r>
      <w:r w:rsidR="004E5E98" w:rsidRPr="00EE0B05">
        <w:t xml:space="preserve">. </w:t>
      </w:r>
      <w:r w:rsidR="00EE0B05" w:rsidRPr="00EE0B05">
        <w:t xml:space="preserve">Nghị quyết </w:t>
      </w:r>
      <w:r w:rsidR="00EE0B05">
        <w:t xml:space="preserve">số </w:t>
      </w:r>
      <w:r w:rsidR="004E5E98" w:rsidRPr="00EE0B05">
        <w:t xml:space="preserve">83/2015/NQ-HĐND ngày 26/8/2015 </w:t>
      </w:r>
      <w:r w:rsidR="00EE0B05">
        <w:t>của HĐND tỉnh v</w:t>
      </w:r>
      <w:r w:rsidR="00EE0B05" w:rsidRPr="00EE0B05">
        <w:t>ề</w:t>
      </w:r>
      <w:r w:rsidR="004E5E98" w:rsidRPr="00EE0B05">
        <w:t xml:space="preserve"> kế hoạch phát triển kinh tế - xã hội tỉnh Thái Nguyên giai đoạn 2016-2020.</w:t>
      </w:r>
    </w:p>
    <w:p w14:paraId="5DA2D6A8" w14:textId="55D3AD42" w:rsidR="004E5E98" w:rsidRPr="00EE0B05" w:rsidRDefault="00B5427C" w:rsidP="00EE0B05">
      <w:pPr>
        <w:pStyle w:val="BodyTextIndent2"/>
        <w:spacing w:before="120" w:line="240" w:lineRule="auto"/>
        <w:ind w:left="0" w:firstLine="567"/>
        <w:jc w:val="both"/>
      </w:pPr>
      <w:r>
        <w:t>21</w:t>
      </w:r>
      <w:r w:rsidR="004E5E98" w:rsidRPr="00EE0B05">
        <w:t xml:space="preserve">. </w:t>
      </w:r>
      <w:r w:rsidR="00EE0B05" w:rsidRPr="00EE0B05">
        <w:t xml:space="preserve">Nghị quyết </w:t>
      </w:r>
      <w:r w:rsidR="00EE0B05">
        <w:t xml:space="preserve">số </w:t>
      </w:r>
      <w:r w:rsidR="004E5E98" w:rsidRPr="00EE0B05">
        <w:t xml:space="preserve">84/2015/NQ-HĐND ngày 26/08/2015 </w:t>
      </w:r>
      <w:r w:rsidR="00EE0B05">
        <w:t xml:space="preserve">của HĐND tỉnh </w:t>
      </w:r>
      <w:r w:rsidR="004E5E98" w:rsidRPr="00EE0B05">
        <w:t>quy định nguyên tắc, tiêu chí, định mức phân bổ và danh mục dự án dự kiến khởi công mới thuộc vốn đầu tư phát triển nguồn ngân sách nhà nước giai đoạn 2016-2020 tỉnh Thái Nguyên.</w:t>
      </w:r>
    </w:p>
    <w:p w14:paraId="4EE72643" w14:textId="0517BAB1" w:rsidR="004E5E98" w:rsidRPr="00EE0B05" w:rsidRDefault="00B5427C" w:rsidP="00EE0B05">
      <w:pPr>
        <w:pStyle w:val="BodyTextIndent2"/>
        <w:spacing w:before="120" w:line="240" w:lineRule="auto"/>
        <w:ind w:left="0" w:firstLine="567"/>
        <w:jc w:val="both"/>
      </w:pPr>
      <w:r>
        <w:t>22</w:t>
      </w:r>
      <w:r w:rsidR="004E5E98" w:rsidRPr="00EE0B05">
        <w:t xml:space="preserve">. </w:t>
      </w:r>
      <w:r w:rsidR="00EE0B05" w:rsidRPr="00EE0B05">
        <w:t xml:space="preserve">Nghị quyết </w:t>
      </w:r>
      <w:r w:rsidR="00EE0B05">
        <w:t xml:space="preserve">số </w:t>
      </w:r>
      <w:r w:rsidR="004E5E98" w:rsidRPr="00EE0B05">
        <w:t>47/2016/NQ-HĐND</w:t>
      </w:r>
      <w:r w:rsidR="004E5E98" w:rsidRPr="00EE0B05">
        <w:rPr>
          <w:shd w:val="clear" w:color="auto" w:fill="FFFFFF"/>
        </w:rPr>
        <w:t xml:space="preserve"> ngày 08/12/2016 </w:t>
      </w:r>
      <w:r w:rsidR="00EE0B05">
        <w:t xml:space="preserve">của HĐND tỉnh </w:t>
      </w:r>
      <w:r w:rsidR="004E5E98" w:rsidRPr="00EE0B05">
        <w:t>Quy định cơ chế hỗ trợ đầu tư xây dựng kết cấu hạ tầng nông thôn trên địa bàn tỉnh Thái Nguyên, giai đoạn 2016-2020.</w:t>
      </w:r>
    </w:p>
    <w:p w14:paraId="689366F9" w14:textId="41F373BD" w:rsidR="008434FE" w:rsidRDefault="00B5427C" w:rsidP="00EE0B05">
      <w:pPr>
        <w:pStyle w:val="BodyTextIndent2"/>
        <w:spacing w:before="120" w:line="240" w:lineRule="auto"/>
        <w:ind w:left="0" w:firstLine="567"/>
        <w:jc w:val="both"/>
      </w:pPr>
      <w:r>
        <w:t>23</w:t>
      </w:r>
      <w:r w:rsidR="00EE0B05">
        <w:t xml:space="preserve">. </w:t>
      </w:r>
      <w:r w:rsidR="00EE0B05" w:rsidRPr="00EE0B05">
        <w:t xml:space="preserve">Nghị quyết </w:t>
      </w:r>
      <w:r w:rsidR="00EE0B05">
        <w:t xml:space="preserve">số </w:t>
      </w:r>
      <w:r w:rsidR="008434FE" w:rsidRPr="00EE0B05">
        <w:t xml:space="preserve">05/2017/NQ-HĐND ngày 18/5/2017  </w:t>
      </w:r>
      <w:r w:rsidR="00EE0B05">
        <w:t xml:space="preserve">của HĐND tỉnh </w:t>
      </w:r>
      <w:r w:rsidR="008434FE" w:rsidRPr="00EE0B05">
        <w:t>Thông qua Đề án Phát triển nông nghiệp ứng dụng công nghệ cao tỉnh Thái Nguyên, giai đoạn 2017-2020</w:t>
      </w:r>
    </w:p>
    <w:p w14:paraId="62ED2670" w14:textId="1C2DA182" w:rsidR="00B5427C" w:rsidRPr="00EE0B05" w:rsidRDefault="00B5427C" w:rsidP="00B5427C">
      <w:pPr>
        <w:pStyle w:val="BodyTextIndent2"/>
        <w:spacing w:before="120" w:line="240" w:lineRule="auto"/>
        <w:ind w:left="0" w:firstLine="567"/>
        <w:jc w:val="both"/>
      </w:pPr>
      <w:r>
        <w:t>24</w:t>
      </w:r>
      <w:r w:rsidRPr="00EE0B05">
        <w:t xml:space="preserve">. Nghị quyết </w:t>
      </w:r>
      <w:r>
        <w:t xml:space="preserve">số </w:t>
      </w:r>
      <w:r w:rsidRPr="00EE0B05">
        <w:t xml:space="preserve">07/2017/NQ-HĐND ngày 21/7/2017 </w:t>
      </w:r>
      <w:r>
        <w:t>của HĐND tỉnh t</w:t>
      </w:r>
      <w:r w:rsidRPr="00EE0B05">
        <w:t>hông qua Đề án phát triển kinh tế tập thể tỉnh Thái Nguyên giai đoạn 2017 – 2020.</w:t>
      </w:r>
    </w:p>
    <w:p w14:paraId="23992678" w14:textId="34F4098D" w:rsidR="004E5E98" w:rsidRPr="00EE0B05" w:rsidRDefault="00EE0B05" w:rsidP="00EE0B05">
      <w:pPr>
        <w:pStyle w:val="BodyTextIndent2"/>
        <w:spacing w:before="120" w:line="240" w:lineRule="auto"/>
        <w:ind w:left="0" w:firstLine="567"/>
        <w:jc w:val="both"/>
      </w:pPr>
      <w:r>
        <w:t>25</w:t>
      </w:r>
      <w:r w:rsidR="004E5E98" w:rsidRPr="00EE0B05">
        <w:t xml:space="preserve">. </w:t>
      </w:r>
      <w:r w:rsidRPr="00EE0B05">
        <w:t xml:space="preserve">Nghị quyết </w:t>
      </w:r>
      <w:r>
        <w:t xml:space="preserve">số </w:t>
      </w:r>
      <w:r w:rsidR="004E5E98" w:rsidRPr="00EE0B05">
        <w:t xml:space="preserve">10/2017/NQ-HĐND ngày 27/10/2017 </w:t>
      </w:r>
      <w:r>
        <w:t xml:space="preserve">của HĐND tỉnh </w:t>
      </w:r>
      <w:r w:rsidR="004E5E98" w:rsidRPr="00EE0B05">
        <w:t>Thông qua Đề án Xây dựng lực lượng dân phòng thực hiện nhiệm vụ phòng cháy, chữa cháy và cứu nạn, cứu hộ tại xã, phường, thị trấn trên địa bàn tỉnh Thái Nguyên, giai đoạn 2017-2022.</w:t>
      </w:r>
    </w:p>
    <w:p w14:paraId="21384B70" w14:textId="76FF2324" w:rsidR="008434FE" w:rsidRPr="00EE0B05" w:rsidRDefault="00EE0B05" w:rsidP="00EE0B05">
      <w:pPr>
        <w:pStyle w:val="BodyTextIndent2"/>
        <w:spacing w:before="120" w:line="240" w:lineRule="auto"/>
        <w:ind w:left="0" w:firstLine="567"/>
        <w:jc w:val="both"/>
      </w:pPr>
      <w:r>
        <w:t xml:space="preserve">26. </w:t>
      </w:r>
      <w:r w:rsidRPr="00EE0B05">
        <w:t xml:space="preserve">Nghị quyết </w:t>
      </w:r>
      <w:r>
        <w:t xml:space="preserve">số </w:t>
      </w:r>
      <w:r w:rsidR="008434FE" w:rsidRPr="00EE0B05">
        <w:t xml:space="preserve">13/2017/NQ-HĐND ngày 08/12/2017 </w:t>
      </w:r>
      <w:r>
        <w:t>của HĐND tỉnh b</w:t>
      </w:r>
      <w:r w:rsidR="008434FE" w:rsidRPr="00EE0B05">
        <w:rPr>
          <w:shd w:val="clear" w:color="auto" w:fill="FFFFFF"/>
        </w:rPr>
        <w:t>an hành quy định nguyên tắc, tiêu chí, định mức phân bổ vốn Trung ương và tỷ lệ vốn đối ứng từ ngân sách địa phương thực hiện Chương trình mục tiêu quốc gia xây dựng nông thôn mới giai đoạn 2016-2020 trên địa bàn tỉnh Thái Nguyên</w:t>
      </w:r>
    </w:p>
    <w:p w14:paraId="2B4BA8B6" w14:textId="3701DF02" w:rsidR="004E5E98" w:rsidRPr="00EE0B05" w:rsidRDefault="00EE0B05" w:rsidP="00EE0B05">
      <w:pPr>
        <w:pStyle w:val="BodyTextIndent2"/>
        <w:spacing w:before="120" w:line="240" w:lineRule="auto"/>
        <w:ind w:left="0" w:firstLine="567"/>
        <w:jc w:val="both"/>
      </w:pPr>
      <w:r>
        <w:t>27</w:t>
      </w:r>
      <w:r w:rsidR="004E5E98" w:rsidRPr="00EE0B05">
        <w:t xml:space="preserve">. </w:t>
      </w:r>
      <w:r w:rsidRPr="00EE0B05">
        <w:t xml:space="preserve">Nghị quyết </w:t>
      </w:r>
      <w:r>
        <w:t xml:space="preserve">số </w:t>
      </w:r>
      <w:r w:rsidR="004E5E98" w:rsidRPr="00EE0B05">
        <w:t xml:space="preserve">14/2017/NQ-HĐND ngày 08/12/2017 </w:t>
      </w:r>
      <w:r>
        <w:t>của HĐND tỉnh v</w:t>
      </w:r>
      <w:r w:rsidRPr="00EE0B05">
        <w:t>ề</w:t>
      </w:r>
      <w:r w:rsidR="004E5E98" w:rsidRPr="00EE0B05">
        <w:t xml:space="preserve"> hỗ trợ kinh phí đối với trường mầm non, phổ thông công lập trên địa bàn tỉnh Thái Nguyên năm 2018.</w:t>
      </w:r>
    </w:p>
    <w:p w14:paraId="7B974AB8" w14:textId="420A244C" w:rsidR="004E5E98" w:rsidRPr="00EE0B05" w:rsidRDefault="00EE0B05" w:rsidP="00EE0B05">
      <w:pPr>
        <w:pStyle w:val="BodyTextIndent2"/>
        <w:spacing w:before="120" w:line="240" w:lineRule="auto"/>
        <w:ind w:left="0" w:firstLine="567"/>
        <w:jc w:val="both"/>
        <w:rPr>
          <w:rStyle w:val="Hyperlink"/>
          <w:color w:val="auto"/>
          <w:spacing w:val="-4"/>
          <w:u w:val="none"/>
        </w:rPr>
      </w:pPr>
      <w:r>
        <w:t>28</w:t>
      </w:r>
      <w:r w:rsidR="004E5E98" w:rsidRPr="00EE0B05">
        <w:t xml:space="preserve">. </w:t>
      </w:r>
      <w:r w:rsidRPr="00EE0B05">
        <w:t xml:space="preserve">Nghị quyết </w:t>
      </w:r>
      <w:r>
        <w:t xml:space="preserve">số </w:t>
      </w:r>
      <w:r w:rsidR="004E5E98" w:rsidRPr="00EE0B05">
        <w:t xml:space="preserve">11/2018/NQ-HĐND ngày 8/12/2018 </w:t>
      </w:r>
      <w:hyperlink r:id="rId9" w:history="1">
        <w:r w:rsidRPr="00EE0B05">
          <w:t xml:space="preserve"> </w:t>
        </w:r>
        <w:r>
          <w:t>của HĐND tỉnh v</w:t>
        </w:r>
        <w:r w:rsidRPr="00EE0B05">
          <w:t>ề</w:t>
        </w:r>
        <w:r w:rsidR="004E5E98" w:rsidRPr="00EE0B05">
          <w:rPr>
            <w:rStyle w:val="Hyperlink"/>
            <w:color w:val="auto"/>
            <w:spacing w:val="-4"/>
            <w:u w:val="none"/>
          </w:rPr>
          <w:t xml:space="preserve"> việc hỗ trợ kinh phí đối với các trường mầm non, phổ thông công lập, Trung tâm Giáo dục nghề nghiệp - Giáo dục thường xuyên cấp huyện thuộc tỉnh Thái Nguyên năm 20</w:t>
        </w:r>
      </w:hyperlink>
      <w:r w:rsidR="004E5E98" w:rsidRPr="00EE0B05">
        <w:rPr>
          <w:rStyle w:val="Hyperlink"/>
          <w:color w:val="auto"/>
          <w:spacing w:val="-4"/>
          <w:u w:val="none"/>
        </w:rPr>
        <w:t>19.</w:t>
      </w:r>
    </w:p>
    <w:p w14:paraId="24C61774" w14:textId="1E2839C6" w:rsidR="008434FE" w:rsidRPr="00EE0B05" w:rsidRDefault="00EE0B05" w:rsidP="00EE0B05">
      <w:pPr>
        <w:pStyle w:val="BodyTextIndent2"/>
        <w:spacing w:before="120" w:line="240" w:lineRule="auto"/>
        <w:ind w:left="0" w:firstLine="567"/>
        <w:jc w:val="both"/>
        <w:rPr>
          <w:rStyle w:val="Hyperlink"/>
          <w:color w:val="auto"/>
          <w:spacing w:val="-4"/>
          <w:u w:val="none"/>
        </w:rPr>
      </w:pPr>
      <w:r>
        <w:lastRenderedPageBreak/>
        <w:t xml:space="preserve">29. </w:t>
      </w:r>
      <w:r w:rsidRPr="00EE0B05">
        <w:t xml:space="preserve">Nghị quyết </w:t>
      </w:r>
      <w:r>
        <w:t xml:space="preserve">số </w:t>
      </w:r>
      <w:r w:rsidR="008434FE" w:rsidRPr="00EE0B05">
        <w:rPr>
          <w:shd w:val="clear" w:color="auto" w:fill="FFFFFF"/>
        </w:rPr>
        <w:t xml:space="preserve">04/2020/NQ-HĐND ngày 09/7/2020 </w:t>
      </w:r>
      <w:r>
        <w:t>của HĐND tỉnh q</w:t>
      </w:r>
      <w:r w:rsidR="008434FE" w:rsidRPr="00EE0B05">
        <w:rPr>
          <w:shd w:val="clear" w:color="auto" w:fill="FFFFFF"/>
        </w:rPr>
        <w:t>uy định về mức giá sản phẩm, dịch vụ công ích thủy lợi năm 2020 trên địa bàn tỉnh Thái Nguyên</w:t>
      </w:r>
      <w:r w:rsidR="00295B33">
        <w:rPr>
          <w:shd w:val="clear" w:color="auto" w:fill="FFFFFF"/>
        </w:rPr>
        <w:t>.</w:t>
      </w:r>
    </w:p>
    <w:p w14:paraId="47CE53F5" w14:textId="2E581C82" w:rsidR="004E5E98" w:rsidRPr="00EE0B05" w:rsidRDefault="00EE0B05" w:rsidP="00EE0B05">
      <w:pPr>
        <w:spacing w:before="120" w:after="120"/>
        <w:ind w:firstLine="567"/>
        <w:jc w:val="both"/>
        <w:rPr>
          <w:iCs/>
          <w:shd w:val="clear" w:color="auto" w:fill="FFFFFF"/>
        </w:rPr>
      </w:pPr>
      <w:r>
        <w:rPr>
          <w:rStyle w:val="Hyperlink"/>
          <w:color w:val="auto"/>
          <w:spacing w:val="-4"/>
          <w:u w:val="none"/>
        </w:rPr>
        <w:t xml:space="preserve">30. </w:t>
      </w:r>
      <w:r w:rsidRPr="00EE0B05">
        <w:t xml:space="preserve">Nghị quyết </w:t>
      </w:r>
      <w:r>
        <w:t xml:space="preserve">số </w:t>
      </w:r>
      <w:r w:rsidR="004E5E98" w:rsidRPr="00EE0B05">
        <w:t xml:space="preserve">03/2021/NQ-HĐND ngày 23/3/2021 </w:t>
      </w:r>
      <w:r>
        <w:t>của HĐND tỉnh q</w:t>
      </w:r>
      <w:r w:rsidR="004E5E98" w:rsidRPr="00EE0B05">
        <w:rPr>
          <w:iCs/>
          <w:shd w:val="clear" w:color="auto" w:fill="FFFFFF"/>
        </w:rPr>
        <w:t xml:space="preserve">uy định chính sách hỗ trợ do điều chỉnh tuổi nghỉ hưu đối với cán bộ, công chức, viên chức, người lao động đã </w:t>
      </w:r>
      <w:r w:rsidR="004E5E98" w:rsidRPr="00EE0B05">
        <w:rPr>
          <w:iCs/>
          <w:spacing w:val="-4"/>
          <w:shd w:val="clear" w:color="auto" w:fill="FFFFFF"/>
        </w:rPr>
        <w:t>nghỉ công tác từ ngày 01/01/2021 trở về trước theo quy định của tỉnh Thái Nguyên</w:t>
      </w:r>
      <w:r w:rsidR="00295B33">
        <w:rPr>
          <w:iCs/>
          <w:spacing w:val="-4"/>
          <w:shd w:val="clear" w:color="auto" w:fill="FFFFFF"/>
        </w:rPr>
        <w:t>.</w:t>
      </w:r>
    </w:p>
    <w:p w14:paraId="4CCCC7CE" w14:textId="415C1740" w:rsidR="005E52D5" w:rsidRPr="0037596D" w:rsidRDefault="005E52D5" w:rsidP="004E5E98">
      <w:pPr>
        <w:widowControl w:val="0"/>
        <w:tabs>
          <w:tab w:val="right" w:leader="dot" w:pos="7920"/>
        </w:tabs>
        <w:spacing w:before="120" w:line="320" w:lineRule="atLeast"/>
        <w:ind w:firstLine="567"/>
        <w:jc w:val="both"/>
        <w:rPr>
          <w:rFonts w:eastAsia="Calibri"/>
          <w:b/>
          <w:lang w:val="nl-NL"/>
        </w:rPr>
      </w:pPr>
      <w:r w:rsidRPr="0037596D">
        <w:rPr>
          <w:b/>
        </w:rPr>
        <w:t xml:space="preserve">Điều 2. </w:t>
      </w:r>
      <w:r>
        <w:rPr>
          <w:rFonts w:eastAsia="Calibri"/>
          <w:b/>
          <w:lang w:val="nl-NL"/>
        </w:rPr>
        <w:t>Điều khoản thi hành</w:t>
      </w:r>
    </w:p>
    <w:p w14:paraId="2F6C0D72" w14:textId="1915C205" w:rsidR="005E52D5" w:rsidRDefault="005E52D5" w:rsidP="00B2701A">
      <w:pPr>
        <w:pStyle w:val="BodyTextIndent2"/>
        <w:spacing w:before="120" w:after="0" w:line="340" w:lineRule="atLeast"/>
        <w:ind w:left="0" w:firstLine="567"/>
        <w:jc w:val="both"/>
        <w:rPr>
          <w:iCs/>
          <w:lang w:val="en-US"/>
        </w:rPr>
      </w:pPr>
      <w:r w:rsidRPr="000D6A98">
        <w:rPr>
          <w:iCs/>
        </w:rPr>
        <w:t xml:space="preserve">Nghị quyết này có hiệu lực từ ngày </w:t>
      </w:r>
      <w:r w:rsidR="004E5E98">
        <w:rPr>
          <w:iCs/>
        </w:rPr>
        <w:t>0</w:t>
      </w:r>
      <w:r w:rsidRPr="000D6A98">
        <w:rPr>
          <w:iCs/>
          <w:lang w:val="vi-VN"/>
        </w:rPr>
        <w:t>1</w:t>
      </w:r>
      <w:r w:rsidRPr="000D6A98">
        <w:rPr>
          <w:iCs/>
        </w:rPr>
        <w:t xml:space="preserve"> tháng </w:t>
      </w:r>
      <w:r w:rsidR="004E5E98">
        <w:rPr>
          <w:iCs/>
        </w:rPr>
        <w:t>7</w:t>
      </w:r>
      <w:r w:rsidRPr="000D6A98">
        <w:rPr>
          <w:iCs/>
        </w:rPr>
        <w:t xml:space="preserve"> năm 202</w:t>
      </w:r>
      <w:r w:rsidR="004E5E98">
        <w:rPr>
          <w:iCs/>
        </w:rPr>
        <w:t>4</w:t>
      </w:r>
      <w:r w:rsidR="004B632A">
        <w:rPr>
          <w:rStyle w:val="FootnoteReference"/>
          <w:iCs/>
        </w:rPr>
        <w:footnoteReference w:id="1"/>
      </w:r>
      <w:r>
        <w:rPr>
          <w:iCs/>
          <w:lang w:val="en-US"/>
        </w:rPr>
        <w:t>.</w:t>
      </w:r>
    </w:p>
    <w:p w14:paraId="6E61BA9E" w14:textId="1EF0DA59" w:rsidR="005E52D5" w:rsidRPr="0037596D" w:rsidRDefault="005E52D5" w:rsidP="005E52D5">
      <w:pPr>
        <w:pStyle w:val="BodyTextIndent2"/>
        <w:spacing w:before="120" w:after="0" w:line="340" w:lineRule="atLeast"/>
        <w:ind w:left="0" w:firstLine="567"/>
        <w:jc w:val="both"/>
        <w:rPr>
          <w:rFonts w:eastAsia="Calibri"/>
          <w:b/>
          <w:bCs/>
          <w:lang w:val="en-US"/>
        </w:rPr>
      </w:pPr>
      <w:r w:rsidRPr="0037596D">
        <w:rPr>
          <w:b/>
          <w:bCs/>
          <w:iCs/>
          <w:spacing w:val="-4"/>
          <w:lang w:val="en-US"/>
        </w:rPr>
        <w:t xml:space="preserve">Điều </w:t>
      </w:r>
      <w:r w:rsidR="004E5E98">
        <w:rPr>
          <w:b/>
          <w:bCs/>
          <w:iCs/>
          <w:spacing w:val="-4"/>
          <w:lang w:val="en-US"/>
        </w:rPr>
        <w:t>3</w:t>
      </w:r>
      <w:r w:rsidRPr="0037596D">
        <w:rPr>
          <w:b/>
          <w:bCs/>
          <w:iCs/>
          <w:spacing w:val="-4"/>
          <w:lang w:val="en-US"/>
        </w:rPr>
        <w:t>. Tổ chức thực hiện</w:t>
      </w:r>
    </w:p>
    <w:bookmarkEnd w:id="2"/>
    <w:bookmarkEnd w:id="3"/>
    <w:p w14:paraId="364131F7" w14:textId="77777777" w:rsidR="005E52D5" w:rsidRPr="0037596D" w:rsidRDefault="005E52D5" w:rsidP="005E52D5">
      <w:pPr>
        <w:pStyle w:val="NormalWeb"/>
        <w:shd w:val="clear" w:color="auto" w:fill="FFFFFF"/>
        <w:spacing w:before="120" w:beforeAutospacing="0" w:after="0" w:afterAutospacing="0" w:line="340" w:lineRule="atLeast"/>
        <w:ind w:firstLine="567"/>
        <w:jc w:val="both"/>
        <w:rPr>
          <w:sz w:val="28"/>
          <w:szCs w:val="28"/>
        </w:rPr>
      </w:pPr>
      <w:r w:rsidRPr="0037596D">
        <w:rPr>
          <w:sz w:val="28"/>
          <w:szCs w:val="28"/>
        </w:rPr>
        <w:t>1. Giao Ủy ban nhân dân tỉnh chỉ đạo triển khai thực hiện Nghị quyết.</w:t>
      </w:r>
    </w:p>
    <w:p w14:paraId="7E26A03A" w14:textId="12989C42" w:rsidR="005E52D5" w:rsidRPr="0037596D" w:rsidRDefault="005E52D5" w:rsidP="005E52D5">
      <w:pPr>
        <w:pStyle w:val="NormalWeb"/>
        <w:shd w:val="clear" w:color="auto" w:fill="FFFFFF"/>
        <w:spacing w:before="120" w:beforeAutospacing="0" w:after="0" w:afterAutospacing="0" w:line="340" w:lineRule="atLeast"/>
        <w:ind w:firstLine="567"/>
        <w:jc w:val="both"/>
        <w:rPr>
          <w:spacing w:val="-4"/>
          <w:sz w:val="28"/>
          <w:szCs w:val="28"/>
        </w:rPr>
      </w:pPr>
      <w:r w:rsidRPr="0037596D">
        <w:rPr>
          <w:spacing w:val="-4"/>
          <w:sz w:val="28"/>
          <w:szCs w:val="28"/>
        </w:rPr>
        <w:t xml:space="preserve">2. </w:t>
      </w:r>
      <w:r w:rsidRPr="0037596D">
        <w:rPr>
          <w:spacing w:val="-4"/>
          <w:sz w:val="28"/>
          <w:szCs w:val="28"/>
          <w:lang w:val="en-US"/>
        </w:rPr>
        <w:t xml:space="preserve">Giao </w:t>
      </w:r>
      <w:r w:rsidRPr="0037596D">
        <w:rPr>
          <w:spacing w:val="-4"/>
          <w:sz w:val="28"/>
          <w:szCs w:val="28"/>
        </w:rPr>
        <w:t>Thường trực Hội đồng nhân dân, các Ban của Hội đồng nhân dân, Tổ đại biểu và đại biểu Hội đồng nhân dân tỉnh giám sát việc thực hiện Nghị quyết.</w:t>
      </w:r>
    </w:p>
    <w:p w14:paraId="2ADDC68F" w14:textId="513BC507" w:rsidR="005E52D5" w:rsidRPr="0037596D" w:rsidRDefault="005E52D5" w:rsidP="005E52D5">
      <w:pPr>
        <w:pStyle w:val="NormalWeb"/>
        <w:shd w:val="clear" w:color="auto" w:fill="FFFFFF"/>
        <w:spacing w:before="120" w:beforeAutospacing="0" w:after="0" w:afterAutospacing="0" w:line="340" w:lineRule="atLeast"/>
        <w:ind w:firstLine="567"/>
        <w:jc w:val="both"/>
        <w:rPr>
          <w:iCs/>
          <w:sz w:val="28"/>
          <w:szCs w:val="28"/>
          <w:lang w:val="en-US"/>
        </w:rPr>
      </w:pPr>
      <w:r w:rsidRPr="0037596D">
        <w:rPr>
          <w:sz w:val="28"/>
          <w:szCs w:val="28"/>
        </w:rPr>
        <w:t xml:space="preserve">3. </w:t>
      </w:r>
      <w:bookmarkStart w:id="4" w:name="_Hlk103347449"/>
      <w:r w:rsidRPr="0037596D">
        <w:rPr>
          <w:iCs/>
          <w:spacing w:val="-4"/>
          <w:sz w:val="28"/>
          <w:szCs w:val="28"/>
        </w:rPr>
        <w:t xml:space="preserve">Nghị quyết này được Hội đồng nhân dân tỉnh Thái Nguyên khóa </w:t>
      </w:r>
      <w:r w:rsidRPr="0037596D">
        <w:rPr>
          <w:bCs/>
          <w:spacing w:val="-4"/>
          <w:sz w:val="28"/>
          <w:szCs w:val="28"/>
        </w:rPr>
        <w:t>XIV</w:t>
      </w:r>
      <w:r w:rsidRPr="0037596D">
        <w:rPr>
          <w:iCs/>
          <w:spacing w:val="-4"/>
          <w:sz w:val="28"/>
          <w:szCs w:val="28"/>
        </w:rPr>
        <w:t xml:space="preserve">, </w:t>
      </w:r>
      <w:r w:rsidRPr="0037596D">
        <w:rPr>
          <w:iCs/>
          <w:spacing w:val="-4"/>
          <w:sz w:val="28"/>
          <w:szCs w:val="28"/>
          <w:lang w:val="en-US"/>
        </w:rPr>
        <w:t>K</w:t>
      </w:r>
      <w:r w:rsidRPr="0037596D">
        <w:rPr>
          <w:iCs/>
          <w:spacing w:val="-4"/>
          <w:sz w:val="28"/>
          <w:szCs w:val="28"/>
        </w:rPr>
        <w:t>ỳ họp</w:t>
      </w:r>
      <w:r w:rsidRPr="0037596D">
        <w:rPr>
          <w:iCs/>
          <w:sz w:val="28"/>
          <w:szCs w:val="28"/>
        </w:rPr>
        <w:t xml:space="preserve"> thứ </w:t>
      </w:r>
      <w:r w:rsidRPr="0037596D">
        <w:rPr>
          <w:iCs/>
          <w:sz w:val="28"/>
          <w:szCs w:val="28"/>
          <w:lang w:val="en-US"/>
        </w:rPr>
        <w:t xml:space="preserve">mười </w:t>
      </w:r>
      <w:r w:rsidR="004E5E98">
        <w:rPr>
          <w:iCs/>
          <w:sz w:val="28"/>
          <w:szCs w:val="28"/>
          <w:lang w:val="en-US"/>
        </w:rPr>
        <w:t>chín</w:t>
      </w:r>
      <w:r w:rsidRPr="0037596D">
        <w:rPr>
          <w:iCs/>
          <w:sz w:val="28"/>
          <w:szCs w:val="28"/>
        </w:rPr>
        <w:t xml:space="preserve"> thông qua ngày .... tháng </w:t>
      </w:r>
      <w:r w:rsidR="006B3147">
        <w:rPr>
          <w:iCs/>
          <w:sz w:val="28"/>
          <w:szCs w:val="28"/>
          <w:lang w:val="en-US"/>
        </w:rPr>
        <w:t>…</w:t>
      </w:r>
      <w:r w:rsidRPr="0037596D">
        <w:rPr>
          <w:iCs/>
          <w:sz w:val="28"/>
          <w:szCs w:val="28"/>
        </w:rPr>
        <w:t xml:space="preserve"> năm 202</w:t>
      </w:r>
      <w:r w:rsidR="004E5E98">
        <w:rPr>
          <w:iCs/>
          <w:sz w:val="28"/>
          <w:szCs w:val="28"/>
          <w:lang w:val="en-US"/>
        </w:rPr>
        <w:t>4</w:t>
      </w:r>
      <w:r w:rsidRPr="0037596D">
        <w:rPr>
          <w:iCs/>
          <w:sz w:val="28"/>
          <w:szCs w:val="28"/>
        </w:rPr>
        <w:t>./.</w:t>
      </w:r>
      <w:bookmarkEnd w:id="4"/>
      <w:r w:rsidRPr="0037596D">
        <w:rPr>
          <w:i/>
          <w:iCs/>
        </w:rPr>
        <w:t> </w:t>
      </w:r>
    </w:p>
    <w:p w14:paraId="19172E99" w14:textId="77777777" w:rsidR="005E52D5" w:rsidRPr="0058429B" w:rsidRDefault="005E52D5" w:rsidP="005E52D5">
      <w:pPr>
        <w:pStyle w:val="NormalWeb"/>
        <w:shd w:val="clear" w:color="auto" w:fill="FFFFFF"/>
        <w:spacing w:before="120" w:beforeAutospacing="0" w:after="0" w:afterAutospacing="0"/>
        <w:ind w:firstLine="567"/>
        <w:jc w:val="both"/>
        <w:rPr>
          <w:i/>
          <w:iCs/>
          <w:sz w:val="10"/>
          <w:szCs w:val="10"/>
          <w:lang w:val="en-US"/>
        </w:rPr>
      </w:pPr>
    </w:p>
    <w:tbl>
      <w:tblPr>
        <w:tblW w:w="9106" w:type="dxa"/>
        <w:tblCellSpacing w:w="0" w:type="dxa"/>
        <w:tblInd w:w="108" w:type="dxa"/>
        <w:shd w:val="clear" w:color="auto" w:fill="FFFFFF"/>
        <w:tblCellMar>
          <w:left w:w="0" w:type="dxa"/>
          <w:right w:w="0" w:type="dxa"/>
        </w:tblCellMar>
        <w:tblLook w:val="04A0" w:firstRow="1" w:lastRow="0" w:firstColumn="1" w:lastColumn="0" w:noHBand="0" w:noVBand="1"/>
      </w:tblPr>
      <w:tblGrid>
        <w:gridCol w:w="4678"/>
        <w:gridCol w:w="4428"/>
      </w:tblGrid>
      <w:tr w:rsidR="005E52D5" w:rsidRPr="0037596D" w14:paraId="5169DBDF" w14:textId="77777777" w:rsidTr="006E105A">
        <w:trPr>
          <w:tblCellSpacing w:w="0" w:type="dxa"/>
        </w:trPr>
        <w:tc>
          <w:tcPr>
            <w:tcW w:w="4678" w:type="dxa"/>
            <w:shd w:val="clear" w:color="auto" w:fill="FFFFFF"/>
            <w:tcMar>
              <w:top w:w="0" w:type="dxa"/>
              <w:left w:w="108" w:type="dxa"/>
              <w:bottom w:w="0" w:type="dxa"/>
              <w:right w:w="108" w:type="dxa"/>
            </w:tcMar>
            <w:hideMark/>
          </w:tcPr>
          <w:p w14:paraId="29636479" w14:textId="50916901" w:rsidR="005E52D5" w:rsidRPr="0037596D" w:rsidRDefault="005E52D5" w:rsidP="006E105A">
            <w:pPr>
              <w:rPr>
                <w:spacing w:val="-6"/>
                <w:sz w:val="22"/>
              </w:rPr>
            </w:pPr>
            <w:r w:rsidRPr="0037596D">
              <w:rPr>
                <w:b/>
                <w:bCs/>
                <w:i/>
                <w:iCs/>
                <w:sz w:val="24"/>
              </w:rPr>
              <w:t>Nơi nhận:</w:t>
            </w:r>
            <w:r w:rsidRPr="0037596D">
              <w:rPr>
                <w:b/>
                <w:bCs/>
                <w:i/>
                <w:iCs/>
                <w:sz w:val="24"/>
              </w:rPr>
              <w:br/>
            </w:r>
            <w:r w:rsidRPr="0037596D">
              <w:rPr>
                <w:spacing w:val="-6"/>
                <w:sz w:val="22"/>
                <w:lang w:val="vi-VN"/>
              </w:rPr>
              <w:t xml:space="preserve">- </w:t>
            </w:r>
            <w:r w:rsidRPr="0037596D">
              <w:rPr>
                <w:spacing w:val="-6"/>
                <w:sz w:val="22"/>
              </w:rPr>
              <w:t>Ủy ban Thường vụ Quốc hội</w:t>
            </w:r>
            <w:r w:rsidRPr="0037596D">
              <w:rPr>
                <w:spacing w:val="-6"/>
                <w:sz w:val="22"/>
                <w:lang w:val="vi-VN"/>
              </w:rPr>
              <w:t>;</w:t>
            </w:r>
            <w:r w:rsidRPr="0037596D">
              <w:rPr>
                <w:spacing w:val="-6"/>
                <w:sz w:val="22"/>
                <w:lang w:val="vi-VN"/>
              </w:rPr>
              <w:br/>
              <w:t xml:space="preserve">- </w:t>
            </w:r>
            <w:r w:rsidRPr="0037596D">
              <w:rPr>
                <w:spacing w:val="-6"/>
                <w:sz w:val="22"/>
              </w:rPr>
              <w:t>Văn phòng</w:t>
            </w:r>
            <w:r w:rsidRPr="0037596D">
              <w:rPr>
                <w:spacing w:val="-6"/>
                <w:sz w:val="22"/>
                <w:lang w:val="vi-VN"/>
              </w:rPr>
              <w:t xml:space="preserve">: </w:t>
            </w:r>
            <w:r w:rsidRPr="0037596D">
              <w:rPr>
                <w:spacing w:val="-6"/>
                <w:sz w:val="22"/>
              </w:rPr>
              <w:t>Quốc hội</w:t>
            </w:r>
            <w:r w:rsidRPr="0037596D">
              <w:rPr>
                <w:spacing w:val="-6"/>
                <w:sz w:val="22"/>
                <w:lang w:val="vi-VN"/>
              </w:rPr>
              <w:t xml:space="preserve">, </w:t>
            </w:r>
            <w:r w:rsidRPr="0037596D">
              <w:rPr>
                <w:spacing w:val="-6"/>
                <w:sz w:val="22"/>
              </w:rPr>
              <w:t>Chủ tịch nước</w:t>
            </w:r>
            <w:r w:rsidRPr="0037596D">
              <w:rPr>
                <w:spacing w:val="-6"/>
                <w:sz w:val="22"/>
                <w:lang w:val="vi-VN"/>
              </w:rPr>
              <w:t xml:space="preserve">, </w:t>
            </w:r>
            <w:r w:rsidRPr="0037596D">
              <w:rPr>
                <w:spacing w:val="-6"/>
                <w:sz w:val="22"/>
              </w:rPr>
              <w:t>Chính phủ</w:t>
            </w:r>
            <w:r w:rsidRPr="0037596D">
              <w:rPr>
                <w:spacing w:val="-6"/>
                <w:sz w:val="22"/>
                <w:lang w:val="vi-VN"/>
              </w:rPr>
              <w:t>;</w:t>
            </w:r>
            <w:r w:rsidRPr="0037596D">
              <w:rPr>
                <w:spacing w:val="-6"/>
                <w:sz w:val="22"/>
                <w:lang w:val="vi-VN"/>
              </w:rPr>
              <w:br/>
            </w:r>
            <w:r w:rsidRPr="0037596D">
              <w:rPr>
                <w:spacing w:val="-10"/>
                <w:sz w:val="22"/>
                <w:lang w:val="vi-VN"/>
              </w:rPr>
              <w:t xml:space="preserve">- Ban </w:t>
            </w:r>
            <w:r w:rsidRPr="0037596D">
              <w:rPr>
                <w:spacing w:val="-10"/>
                <w:sz w:val="22"/>
              </w:rPr>
              <w:t>Công tác đại biểu, Ủy ban Thường vụ Quốc hội</w:t>
            </w:r>
            <w:r w:rsidRPr="0037596D">
              <w:rPr>
                <w:spacing w:val="-10"/>
                <w:sz w:val="22"/>
                <w:lang w:val="vi-VN"/>
              </w:rPr>
              <w:t>;</w:t>
            </w:r>
            <w:r w:rsidRPr="0037596D">
              <w:rPr>
                <w:spacing w:val="-10"/>
                <w:sz w:val="22"/>
                <w:lang w:val="vi-VN"/>
              </w:rPr>
              <w:br/>
            </w:r>
            <w:r w:rsidRPr="0037596D">
              <w:rPr>
                <w:spacing w:val="-6"/>
                <w:sz w:val="22"/>
                <w:lang w:val="vi-VN"/>
              </w:rPr>
              <w:t xml:space="preserve">- Cục </w:t>
            </w:r>
            <w:r w:rsidRPr="0037596D">
              <w:rPr>
                <w:spacing w:val="-6"/>
                <w:sz w:val="22"/>
              </w:rPr>
              <w:t xml:space="preserve">Kiểm tra </w:t>
            </w:r>
            <w:r w:rsidR="00295B33">
              <w:rPr>
                <w:spacing w:val="-6"/>
                <w:sz w:val="22"/>
              </w:rPr>
              <w:t>VBQPPL (Bộ Tư pháp)</w:t>
            </w:r>
            <w:r w:rsidRPr="0037596D">
              <w:rPr>
                <w:spacing w:val="-6"/>
                <w:sz w:val="22"/>
                <w:lang w:val="vi-VN"/>
              </w:rPr>
              <w:t>;</w:t>
            </w:r>
            <w:r w:rsidRPr="0037596D">
              <w:rPr>
                <w:spacing w:val="-6"/>
                <w:sz w:val="22"/>
                <w:lang w:val="vi-VN"/>
              </w:rPr>
              <w:br/>
            </w:r>
            <w:r w:rsidRPr="0037596D">
              <w:rPr>
                <w:spacing w:val="-18"/>
                <w:sz w:val="22"/>
                <w:lang w:val="vi-VN"/>
              </w:rPr>
              <w:t xml:space="preserve">- </w:t>
            </w:r>
            <w:r w:rsidRPr="0037596D">
              <w:rPr>
                <w:spacing w:val="-18"/>
                <w:sz w:val="22"/>
              </w:rPr>
              <w:t>Ban Thường vụ Tỉnh ủy</w:t>
            </w:r>
            <w:r w:rsidRPr="0037596D">
              <w:rPr>
                <w:spacing w:val="-18"/>
                <w:sz w:val="22"/>
                <w:lang w:val="vi-VN"/>
              </w:rPr>
              <w:t xml:space="preserve">, </w:t>
            </w:r>
            <w:r w:rsidRPr="0037596D">
              <w:rPr>
                <w:spacing w:val="-18"/>
                <w:sz w:val="22"/>
              </w:rPr>
              <w:t>Thường trực</w:t>
            </w:r>
            <w:r w:rsidRPr="0037596D">
              <w:rPr>
                <w:spacing w:val="-18"/>
                <w:sz w:val="22"/>
                <w:lang w:val="vi-VN"/>
              </w:rPr>
              <w:t xml:space="preserve"> HĐND, UBND tỉnh;</w:t>
            </w:r>
            <w:r w:rsidRPr="0037596D">
              <w:rPr>
                <w:spacing w:val="-18"/>
                <w:sz w:val="22"/>
                <w:lang w:val="vi-VN"/>
              </w:rPr>
              <w:br/>
            </w:r>
            <w:r w:rsidRPr="0037596D">
              <w:rPr>
                <w:spacing w:val="-12"/>
                <w:sz w:val="22"/>
                <w:lang w:val="vi-VN"/>
              </w:rPr>
              <w:t xml:space="preserve">- </w:t>
            </w:r>
            <w:r w:rsidRPr="0037596D">
              <w:rPr>
                <w:spacing w:val="-12"/>
                <w:sz w:val="22"/>
              </w:rPr>
              <w:t>Ủy ban MTTQ Việt Nam tỉnh;</w:t>
            </w:r>
            <w:r w:rsidRPr="0037596D">
              <w:rPr>
                <w:spacing w:val="-12"/>
                <w:sz w:val="22"/>
                <w:lang w:val="vi-VN"/>
              </w:rPr>
              <w:t xml:space="preserve"> Đoàn ĐBQH tỉnh;</w:t>
            </w:r>
            <w:r w:rsidRPr="0037596D">
              <w:rPr>
                <w:spacing w:val="-6"/>
                <w:sz w:val="22"/>
                <w:lang w:val="vi-VN"/>
              </w:rPr>
              <w:br/>
              <w:t xml:space="preserve">- Các </w:t>
            </w:r>
            <w:r w:rsidR="00295B33">
              <w:rPr>
                <w:spacing w:val="-6"/>
                <w:sz w:val="22"/>
              </w:rPr>
              <w:t>B</w:t>
            </w:r>
            <w:r w:rsidRPr="0037596D">
              <w:rPr>
                <w:spacing w:val="-6"/>
                <w:sz w:val="22"/>
                <w:lang w:val="vi-VN"/>
              </w:rPr>
              <w:t>an của HĐND tỉnh;</w:t>
            </w:r>
            <w:r w:rsidRPr="0037596D">
              <w:rPr>
                <w:spacing w:val="-6"/>
                <w:sz w:val="22"/>
              </w:rPr>
              <w:t xml:space="preserve"> </w:t>
            </w:r>
          </w:p>
          <w:p w14:paraId="651234F8" w14:textId="77777777" w:rsidR="005E52D5" w:rsidRPr="0037596D" w:rsidRDefault="005E52D5" w:rsidP="006E105A">
            <w:pPr>
              <w:rPr>
                <w:spacing w:val="-14"/>
                <w:sz w:val="22"/>
                <w:lang w:val="vi-VN"/>
              </w:rPr>
            </w:pPr>
            <w:r w:rsidRPr="0037596D">
              <w:rPr>
                <w:spacing w:val="-6"/>
                <w:sz w:val="22"/>
              </w:rPr>
              <w:t xml:space="preserve">- </w:t>
            </w:r>
            <w:r w:rsidRPr="0037596D">
              <w:rPr>
                <w:spacing w:val="-6"/>
                <w:sz w:val="22"/>
                <w:lang w:val="vi-VN"/>
              </w:rPr>
              <w:t>Đại biểu HĐND tỉnh;</w:t>
            </w:r>
            <w:r w:rsidRPr="0037596D">
              <w:rPr>
                <w:spacing w:val="-6"/>
                <w:sz w:val="22"/>
                <w:lang w:val="vi-VN"/>
              </w:rPr>
              <w:br/>
            </w:r>
            <w:r w:rsidRPr="0037596D">
              <w:rPr>
                <w:spacing w:val="-14"/>
                <w:sz w:val="22"/>
                <w:lang w:val="vi-VN"/>
              </w:rPr>
              <w:t xml:space="preserve">- </w:t>
            </w:r>
            <w:r w:rsidRPr="0037596D">
              <w:rPr>
                <w:spacing w:val="-14"/>
                <w:sz w:val="22"/>
              </w:rPr>
              <w:t>Văn phòng</w:t>
            </w:r>
            <w:r w:rsidRPr="0037596D">
              <w:rPr>
                <w:spacing w:val="-14"/>
                <w:sz w:val="22"/>
                <w:lang w:val="vi-VN"/>
              </w:rPr>
              <w:t>: Tỉnh ủy, UBND, HĐND</w:t>
            </w:r>
            <w:r w:rsidRPr="0037596D">
              <w:rPr>
                <w:spacing w:val="-14"/>
                <w:sz w:val="22"/>
              </w:rPr>
              <w:t xml:space="preserve">, </w:t>
            </w:r>
            <w:r w:rsidRPr="0037596D">
              <w:rPr>
                <w:spacing w:val="-14"/>
                <w:sz w:val="22"/>
                <w:lang w:val="vi-VN"/>
              </w:rPr>
              <w:t>Đoàn ĐBQH tỉnh;</w:t>
            </w:r>
          </w:p>
          <w:p w14:paraId="06870515" w14:textId="77777777" w:rsidR="005E52D5" w:rsidRDefault="005E52D5" w:rsidP="006E105A">
            <w:pPr>
              <w:rPr>
                <w:spacing w:val="-6"/>
                <w:sz w:val="22"/>
                <w:lang w:val="vi-VN"/>
              </w:rPr>
            </w:pPr>
            <w:r w:rsidRPr="0037596D">
              <w:rPr>
                <w:spacing w:val="-6"/>
                <w:sz w:val="22"/>
                <w:lang w:val="vi-VN"/>
              </w:rPr>
              <w:t>- Sở, ban, ngành, đoàn thể thuộc tỉnh;</w:t>
            </w:r>
            <w:r w:rsidRPr="0037596D">
              <w:rPr>
                <w:spacing w:val="-6"/>
                <w:sz w:val="22"/>
                <w:lang w:val="vi-VN"/>
              </w:rPr>
              <w:br/>
              <w:t xml:space="preserve">- </w:t>
            </w:r>
            <w:r w:rsidRPr="0037596D">
              <w:rPr>
                <w:spacing w:val="-6"/>
                <w:sz w:val="22"/>
              </w:rPr>
              <w:t>Thường trực</w:t>
            </w:r>
            <w:r w:rsidRPr="0037596D">
              <w:rPr>
                <w:spacing w:val="-6"/>
                <w:sz w:val="22"/>
                <w:lang w:val="vi-VN"/>
              </w:rPr>
              <w:t xml:space="preserve"> HĐND, UBND huyện, thành phố;</w:t>
            </w:r>
            <w:r w:rsidRPr="0037596D">
              <w:rPr>
                <w:spacing w:val="-6"/>
                <w:sz w:val="22"/>
                <w:lang w:val="vi-VN"/>
              </w:rPr>
              <w:br/>
              <w:t xml:space="preserve">- </w:t>
            </w:r>
            <w:r w:rsidRPr="0037596D">
              <w:rPr>
                <w:spacing w:val="-6"/>
                <w:sz w:val="22"/>
              </w:rPr>
              <w:t>Thông tấn xã Việt Nam</w:t>
            </w:r>
            <w:r w:rsidRPr="0037596D">
              <w:rPr>
                <w:spacing w:val="-6"/>
                <w:sz w:val="22"/>
                <w:lang w:val="vi-VN"/>
              </w:rPr>
              <w:t xml:space="preserve"> tại Thái Nguyên;</w:t>
            </w:r>
            <w:r w:rsidRPr="0037596D">
              <w:rPr>
                <w:spacing w:val="-6"/>
                <w:sz w:val="22"/>
                <w:lang w:val="vi-VN"/>
              </w:rPr>
              <w:br/>
              <w:t xml:space="preserve">- Báo Thái Nguyên, Đài </w:t>
            </w:r>
            <w:r w:rsidRPr="0037596D">
              <w:rPr>
                <w:spacing w:val="-6"/>
                <w:sz w:val="22"/>
              </w:rPr>
              <w:t>Phát thanh - Truyền hình</w:t>
            </w:r>
            <w:r w:rsidRPr="0037596D">
              <w:rPr>
                <w:spacing w:val="-6"/>
                <w:sz w:val="22"/>
                <w:lang w:val="vi-VN"/>
              </w:rPr>
              <w:t xml:space="preserve"> </w:t>
            </w:r>
            <w:r w:rsidRPr="0037596D">
              <w:rPr>
                <w:spacing w:val="-6"/>
                <w:sz w:val="22"/>
              </w:rPr>
              <w:t>Thái Nguyên</w:t>
            </w:r>
            <w:r w:rsidRPr="0037596D">
              <w:rPr>
                <w:spacing w:val="-6"/>
                <w:sz w:val="22"/>
                <w:lang w:val="vi-VN"/>
              </w:rPr>
              <w:t>;</w:t>
            </w:r>
          </w:p>
          <w:p w14:paraId="04DABB31" w14:textId="341DE964" w:rsidR="005E52D5" w:rsidRPr="0037596D" w:rsidRDefault="005E52D5" w:rsidP="006E105A">
            <w:pPr>
              <w:rPr>
                <w:sz w:val="22"/>
                <w:lang w:val="vi-VN"/>
              </w:rPr>
            </w:pPr>
            <w:r>
              <w:rPr>
                <w:spacing w:val="-6"/>
                <w:sz w:val="22"/>
              </w:rPr>
              <w:t>- Trung tâm thông tin tỉnh;</w:t>
            </w:r>
            <w:r w:rsidRPr="0037596D">
              <w:rPr>
                <w:spacing w:val="-6"/>
                <w:sz w:val="22"/>
                <w:lang w:val="vi-VN"/>
              </w:rPr>
              <w:br/>
            </w:r>
            <w:r w:rsidRPr="0037596D">
              <w:rPr>
                <w:sz w:val="22"/>
                <w:lang w:val="vi-VN"/>
              </w:rPr>
              <w:t xml:space="preserve">- Lưu: VT, </w:t>
            </w:r>
            <w:r w:rsidR="00B5427C">
              <w:rPr>
                <w:sz w:val="22"/>
              </w:rPr>
              <w:t>NC</w:t>
            </w:r>
            <w:r w:rsidRPr="0037596D">
              <w:rPr>
                <w:sz w:val="22"/>
              </w:rPr>
              <w:t>.</w:t>
            </w:r>
          </w:p>
        </w:tc>
        <w:tc>
          <w:tcPr>
            <w:tcW w:w="4428" w:type="dxa"/>
            <w:shd w:val="clear" w:color="auto" w:fill="FFFFFF"/>
            <w:tcMar>
              <w:top w:w="0" w:type="dxa"/>
              <w:left w:w="108" w:type="dxa"/>
              <w:bottom w:w="0" w:type="dxa"/>
              <w:right w:w="108" w:type="dxa"/>
            </w:tcMar>
            <w:hideMark/>
          </w:tcPr>
          <w:p w14:paraId="564C01FE" w14:textId="77777777" w:rsidR="005E52D5" w:rsidRPr="0037596D" w:rsidRDefault="005E52D5" w:rsidP="006E105A">
            <w:pPr>
              <w:spacing w:before="120" w:line="234" w:lineRule="atLeast"/>
              <w:jc w:val="center"/>
            </w:pPr>
            <w:r w:rsidRPr="0037596D">
              <w:rPr>
                <w:b/>
                <w:bCs/>
              </w:rPr>
              <w:t>CHỦ TỊCH</w:t>
            </w:r>
            <w:r w:rsidRPr="0037596D">
              <w:br/>
            </w:r>
          </w:p>
          <w:p w14:paraId="3CF55A25" w14:textId="77777777" w:rsidR="005E52D5" w:rsidRPr="0037596D" w:rsidRDefault="005E52D5" w:rsidP="006E105A">
            <w:pPr>
              <w:spacing w:before="120" w:line="234" w:lineRule="atLeast"/>
              <w:jc w:val="center"/>
            </w:pPr>
            <w:r w:rsidRPr="0037596D">
              <w:br/>
            </w:r>
            <w:r w:rsidRPr="0037596D">
              <w:br/>
            </w:r>
            <w:r w:rsidRPr="0037596D">
              <w:br/>
            </w:r>
          </w:p>
          <w:p w14:paraId="2B90145C" w14:textId="77777777" w:rsidR="005E52D5" w:rsidRPr="0037596D" w:rsidRDefault="005E52D5" w:rsidP="006E105A">
            <w:pPr>
              <w:spacing w:before="120" w:line="234" w:lineRule="atLeast"/>
              <w:jc w:val="center"/>
            </w:pPr>
            <w:r w:rsidRPr="0037596D">
              <w:br/>
            </w:r>
            <w:r w:rsidRPr="0037596D">
              <w:rPr>
                <w:b/>
              </w:rPr>
              <w:t>Phạm Hoàng Sơn</w:t>
            </w:r>
          </w:p>
        </w:tc>
      </w:tr>
    </w:tbl>
    <w:p w14:paraId="6524DAAB" w14:textId="77777777" w:rsidR="005E52D5" w:rsidRPr="0037596D" w:rsidRDefault="005E52D5" w:rsidP="005E52D5"/>
    <w:p w14:paraId="51E5B819" w14:textId="77777777" w:rsidR="005E52D5" w:rsidRPr="0037596D" w:rsidRDefault="005E52D5" w:rsidP="005E52D5">
      <w:pPr>
        <w:pStyle w:val="BodyTextIndent2"/>
        <w:spacing w:line="380" w:lineRule="exact"/>
        <w:ind w:firstLine="567"/>
      </w:pPr>
    </w:p>
    <w:p w14:paraId="74D47916" w14:textId="77777777" w:rsidR="005E52D5" w:rsidRPr="0037596D" w:rsidRDefault="005E52D5" w:rsidP="005E52D5">
      <w:pPr>
        <w:rPr>
          <w:sz w:val="2"/>
          <w:szCs w:val="22"/>
        </w:rPr>
      </w:pPr>
    </w:p>
    <w:p w14:paraId="16363150" w14:textId="77777777" w:rsidR="005E52D5" w:rsidRPr="0037596D" w:rsidRDefault="005E52D5" w:rsidP="005E52D5"/>
    <w:sectPr w:rsidR="005E52D5" w:rsidRPr="0037596D" w:rsidSect="00E2697D">
      <w:headerReference w:type="default" r:id="rId10"/>
      <w:pgSz w:w="11909" w:h="16834"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F6EA0" w14:textId="77777777" w:rsidR="007625DF" w:rsidRDefault="007625DF">
      <w:r>
        <w:separator/>
      </w:r>
    </w:p>
  </w:endnote>
  <w:endnote w:type="continuationSeparator" w:id="0">
    <w:p w14:paraId="0A994524" w14:textId="77777777" w:rsidR="007625DF" w:rsidRDefault="0076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Times New Roman Italic">
    <w:panose1 w:val="0202050305040509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5C28B" w14:textId="77777777" w:rsidR="007625DF" w:rsidRDefault="007625DF">
      <w:r>
        <w:separator/>
      </w:r>
    </w:p>
  </w:footnote>
  <w:footnote w:type="continuationSeparator" w:id="0">
    <w:p w14:paraId="20C17D01" w14:textId="77777777" w:rsidR="007625DF" w:rsidRDefault="007625DF">
      <w:r>
        <w:continuationSeparator/>
      </w:r>
    </w:p>
  </w:footnote>
  <w:footnote w:id="1">
    <w:p w14:paraId="72C0FA41" w14:textId="20BA8917" w:rsidR="004B632A" w:rsidRDefault="004B632A">
      <w:pPr>
        <w:pStyle w:val="FootnoteText"/>
      </w:pPr>
      <w:r>
        <w:rPr>
          <w:rStyle w:val="FootnoteReference"/>
        </w:rPr>
        <w:footnoteRef/>
      </w:r>
      <w:r>
        <w:t xml:space="preserve"> Thời gian dự kiến.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CF16" w14:textId="77777777" w:rsidR="00981977" w:rsidRDefault="007625DF">
    <w:pPr>
      <w:pStyle w:val="Header"/>
      <w:jc w:val="center"/>
    </w:pPr>
    <w:r>
      <w:fldChar w:fldCharType="begin"/>
    </w:r>
    <w:r>
      <w:instrText xml:space="preserve"> PAGE   \* MERGEFORMAT </w:instrText>
    </w:r>
    <w:r>
      <w:fldChar w:fldCharType="separate"/>
    </w:r>
    <w:r w:rsidR="001A49A8">
      <w:rPr>
        <w:noProof/>
      </w:rPr>
      <w:t>4</w:t>
    </w:r>
    <w:r>
      <w:rPr>
        <w:noProof/>
      </w:rPr>
      <w:fldChar w:fldCharType="end"/>
    </w:r>
  </w:p>
  <w:p w14:paraId="74724965" w14:textId="77777777" w:rsidR="00981977" w:rsidRDefault="009819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2D5"/>
    <w:rsid w:val="00023D6C"/>
    <w:rsid w:val="0009571A"/>
    <w:rsid w:val="000A2F7B"/>
    <w:rsid w:val="000C15BF"/>
    <w:rsid w:val="000F6059"/>
    <w:rsid w:val="0010275A"/>
    <w:rsid w:val="00106658"/>
    <w:rsid w:val="00157056"/>
    <w:rsid w:val="001A49A8"/>
    <w:rsid w:val="001D0F6F"/>
    <w:rsid w:val="001F557F"/>
    <w:rsid w:val="00203F1C"/>
    <w:rsid w:val="002443B7"/>
    <w:rsid w:val="00295B33"/>
    <w:rsid w:val="002F1C63"/>
    <w:rsid w:val="00330989"/>
    <w:rsid w:val="003A0B9D"/>
    <w:rsid w:val="003B1041"/>
    <w:rsid w:val="003D518B"/>
    <w:rsid w:val="00454772"/>
    <w:rsid w:val="004B632A"/>
    <w:rsid w:val="004E5E98"/>
    <w:rsid w:val="00570235"/>
    <w:rsid w:val="00580DD7"/>
    <w:rsid w:val="00583523"/>
    <w:rsid w:val="005A50A3"/>
    <w:rsid w:val="005E52D5"/>
    <w:rsid w:val="005E7747"/>
    <w:rsid w:val="005F4466"/>
    <w:rsid w:val="0061128E"/>
    <w:rsid w:val="006B3147"/>
    <w:rsid w:val="006E4C9F"/>
    <w:rsid w:val="00714B62"/>
    <w:rsid w:val="007625DF"/>
    <w:rsid w:val="007A2551"/>
    <w:rsid w:val="007E4291"/>
    <w:rsid w:val="008434FE"/>
    <w:rsid w:val="00942FF4"/>
    <w:rsid w:val="00981977"/>
    <w:rsid w:val="00A316D6"/>
    <w:rsid w:val="00AD56B7"/>
    <w:rsid w:val="00B1331A"/>
    <w:rsid w:val="00B2701A"/>
    <w:rsid w:val="00B519B6"/>
    <w:rsid w:val="00B5427C"/>
    <w:rsid w:val="00BC0850"/>
    <w:rsid w:val="00C4018B"/>
    <w:rsid w:val="00C5001D"/>
    <w:rsid w:val="00C7490D"/>
    <w:rsid w:val="00C80D77"/>
    <w:rsid w:val="00CD4950"/>
    <w:rsid w:val="00CD55C5"/>
    <w:rsid w:val="00D0613C"/>
    <w:rsid w:val="00D12A9B"/>
    <w:rsid w:val="00D36653"/>
    <w:rsid w:val="00D90359"/>
    <w:rsid w:val="00E2697D"/>
    <w:rsid w:val="00EB08FB"/>
    <w:rsid w:val="00EE0B05"/>
    <w:rsid w:val="00EE3E00"/>
    <w:rsid w:val="00F06726"/>
    <w:rsid w:val="00FB65F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B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2D5"/>
    <w:pPr>
      <w:spacing w:after="0" w:line="240" w:lineRule="auto"/>
    </w:pPr>
    <w:rPr>
      <w:rFonts w:ascii="Times New Roman" w:eastAsia="Times New Roman" w:hAnsi="Times New Roman" w:cs="Times New Roman"/>
      <w:kern w:val="0"/>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Char Char Char,Char Char Char Char Char Char Char Char Char Char Char Char Char Char Char,Char Char Char Char Char Char Char Char Char Char Char Char,Char Char Cha,Char1 Char,Обычный (веб)1,Обычный (веб) Знак,we"/>
    <w:basedOn w:val="Normal"/>
    <w:link w:val="NormalWebChar1"/>
    <w:uiPriority w:val="99"/>
    <w:qFormat/>
    <w:rsid w:val="005E52D5"/>
    <w:pPr>
      <w:spacing w:before="100" w:beforeAutospacing="1" w:after="100" w:afterAutospacing="1"/>
    </w:pPr>
    <w:rPr>
      <w:sz w:val="24"/>
      <w:szCs w:val="24"/>
      <w:lang w:val="vi-VN" w:eastAsia="vi-VN"/>
    </w:rPr>
  </w:style>
  <w:style w:type="paragraph" w:styleId="Header">
    <w:name w:val="header"/>
    <w:basedOn w:val="Normal"/>
    <w:link w:val="HeaderChar"/>
    <w:uiPriority w:val="99"/>
    <w:rsid w:val="005E52D5"/>
    <w:pPr>
      <w:tabs>
        <w:tab w:val="center" w:pos="4320"/>
        <w:tab w:val="right" w:pos="8640"/>
      </w:tabs>
    </w:pPr>
    <w:rPr>
      <w:rFonts w:ascii=".VnTime" w:hAnsi=".VnTime"/>
      <w:szCs w:val="20"/>
      <w:lang w:val="x-none" w:eastAsia="x-none"/>
    </w:rPr>
  </w:style>
  <w:style w:type="character" w:customStyle="1" w:styleId="HeaderChar">
    <w:name w:val="Header Char"/>
    <w:basedOn w:val="DefaultParagraphFont"/>
    <w:link w:val="Header"/>
    <w:uiPriority w:val="99"/>
    <w:rsid w:val="005E52D5"/>
    <w:rPr>
      <w:rFonts w:ascii=".VnTime" w:eastAsia="Times New Roman" w:hAnsi=".VnTime" w:cs="Times New Roman"/>
      <w:kern w:val="0"/>
      <w:sz w:val="28"/>
      <w:szCs w:val="20"/>
      <w:lang w:val="x-none" w:eastAsia="x-none"/>
    </w:rPr>
  </w:style>
  <w:style w:type="character" w:customStyle="1" w:styleId="NormalWebChar1">
    <w:name w:val="Normal (Web) Char1"/>
    <w:aliases w:val="Normal (Web) Char Char,Char Char Char Char,Char Char Char Char Char Char Char Char Char Char Char Char Char Char Char Char,Char Char Char Char Char Char Char Char Char Char Char Char Char,Char Char Cha Char,Char1 Char Char,we Char"/>
    <w:link w:val="NormalWeb"/>
    <w:uiPriority w:val="99"/>
    <w:locked/>
    <w:rsid w:val="005E52D5"/>
    <w:rPr>
      <w:rFonts w:ascii="Times New Roman" w:eastAsia="Times New Roman" w:hAnsi="Times New Roman" w:cs="Times New Roman"/>
      <w:kern w:val="0"/>
      <w:sz w:val="24"/>
      <w:szCs w:val="24"/>
      <w:lang w:eastAsia="vi-VN"/>
    </w:rPr>
  </w:style>
  <w:style w:type="paragraph" w:styleId="BodyTextIndent2">
    <w:name w:val="Body Text Indent 2"/>
    <w:basedOn w:val="Normal"/>
    <w:link w:val="BodyTextIndent2Char"/>
    <w:rsid w:val="005E52D5"/>
    <w:pPr>
      <w:spacing w:after="120" w:line="480" w:lineRule="auto"/>
      <w:ind w:left="360"/>
    </w:pPr>
    <w:rPr>
      <w:lang w:val="x-none" w:eastAsia="x-none"/>
    </w:rPr>
  </w:style>
  <w:style w:type="character" w:customStyle="1" w:styleId="BodyTextIndent2Char">
    <w:name w:val="Body Text Indent 2 Char"/>
    <w:basedOn w:val="DefaultParagraphFont"/>
    <w:link w:val="BodyTextIndent2"/>
    <w:rsid w:val="005E52D5"/>
    <w:rPr>
      <w:rFonts w:ascii="Times New Roman" w:eastAsia="Times New Roman" w:hAnsi="Times New Roman" w:cs="Times New Roman"/>
      <w:kern w:val="0"/>
      <w:sz w:val="28"/>
      <w:szCs w:val="28"/>
      <w:lang w:val="x-none" w:eastAsia="x-none"/>
    </w:rPr>
  </w:style>
  <w:style w:type="table" w:styleId="TableGrid">
    <w:name w:val="Table Grid"/>
    <w:basedOn w:val="TableNormal"/>
    <w:uiPriority w:val="39"/>
    <w:rsid w:val="005E52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4E5E98"/>
    <w:rPr>
      <w:color w:val="0000FF"/>
      <w:u w:val="single"/>
    </w:rPr>
  </w:style>
  <w:style w:type="paragraph" w:styleId="FootnoteText">
    <w:name w:val="footnote text"/>
    <w:basedOn w:val="Normal"/>
    <w:link w:val="FootnoteTextChar"/>
    <w:uiPriority w:val="99"/>
    <w:semiHidden/>
    <w:unhideWhenUsed/>
    <w:rsid w:val="004B632A"/>
    <w:rPr>
      <w:sz w:val="20"/>
      <w:szCs w:val="20"/>
    </w:rPr>
  </w:style>
  <w:style w:type="character" w:customStyle="1" w:styleId="FootnoteTextChar">
    <w:name w:val="Footnote Text Char"/>
    <w:basedOn w:val="DefaultParagraphFont"/>
    <w:link w:val="FootnoteText"/>
    <w:uiPriority w:val="99"/>
    <w:semiHidden/>
    <w:rsid w:val="004B632A"/>
    <w:rPr>
      <w:rFonts w:ascii="Times New Roman" w:eastAsia="Times New Roman" w:hAnsi="Times New Roman" w:cs="Times New Roman"/>
      <w:kern w:val="0"/>
      <w:sz w:val="20"/>
      <w:szCs w:val="20"/>
      <w:lang w:val="en-US"/>
    </w:rPr>
  </w:style>
  <w:style w:type="character" w:styleId="FootnoteReference">
    <w:name w:val="footnote reference"/>
    <w:basedOn w:val="DefaultParagraphFont"/>
    <w:uiPriority w:val="99"/>
    <w:semiHidden/>
    <w:unhideWhenUsed/>
    <w:rsid w:val="004B63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2D5"/>
    <w:pPr>
      <w:spacing w:after="0" w:line="240" w:lineRule="auto"/>
    </w:pPr>
    <w:rPr>
      <w:rFonts w:ascii="Times New Roman" w:eastAsia="Times New Roman" w:hAnsi="Times New Roman" w:cs="Times New Roman"/>
      <w:kern w:val="0"/>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Char Char Char,Char Char Char Char Char Char Char Char Char Char Char Char Char Char Char,Char Char Char Char Char Char Char Char Char Char Char Char,Char Char Cha,Char1 Char,Обычный (веб)1,Обычный (веб) Знак,we"/>
    <w:basedOn w:val="Normal"/>
    <w:link w:val="NormalWebChar1"/>
    <w:uiPriority w:val="99"/>
    <w:qFormat/>
    <w:rsid w:val="005E52D5"/>
    <w:pPr>
      <w:spacing w:before="100" w:beforeAutospacing="1" w:after="100" w:afterAutospacing="1"/>
    </w:pPr>
    <w:rPr>
      <w:sz w:val="24"/>
      <w:szCs w:val="24"/>
      <w:lang w:val="vi-VN" w:eastAsia="vi-VN"/>
    </w:rPr>
  </w:style>
  <w:style w:type="paragraph" w:styleId="Header">
    <w:name w:val="header"/>
    <w:basedOn w:val="Normal"/>
    <w:link w:val="HeaderChar"/>
    <w:uiPriority w:val="99"/>
    <w:rsid w:val="005E52D5"/>
    <w:pPr>
      <w:tabs>
        <w:tab w:val="center" w:pos="4320"/>
        <w:tab w:val="right" w:pos="8640"/>
      </w:tabs>
    </w:pPr>
    <w:rPr>
      <w:rFonts w:ascii=".VnTime" w:hAnsi=".VnTime"/>
      <w:szCs w:val="20"/>
      <w:lang w:val="x-none" w:eastAsia="x-none"/>
    </w:rPr>
  </w:style>
  <w:style w:type="character" w:customStyle="1" w:styleId="HeaderChar">
    <w:name w:val="Header Char"/>
    <w:basedOn w:val="DefaultParagraphFont"/>
    <w:link w:val="Header"/>
    <w:uiPriority w:val="99"/>
    <w:rsid w:val="005E52D5"/>
    <w:rPr>
      <w:rFonts w:ascii=".VnTime" w:eastAsia="Times New Roman" w:hAnsi=".VnTime" w:cs="Times New Roman"/>
      <w:kern w:val="0"/>
      <w:sz w:val="28"/>
      <w:szCs w:val="20"/>
      <w:lang w:val="x-none" w:eastAsia="x-none"/>
    </w:rPr>
  </w:style>
  <w:style w:type="character" w:customStyle="1" w:styleId="NormalWebChar1">
    <w:name w:val="Normal (Web) Char1"/>
    <w:aliases w:val="Normal (Web) Char Char,Char Char Char Char,Char Char Char Char Char Char Char Char Char Char Char Char Char Char Char Char,Char Char Char Char Char Char Char Char Char Char Char Char Char,Char Char Cha Char,Char1 Char Char,we Char"/>
    <w:link w:val="NormalWeb"/>
    <w:uiPriority w:val="99"/>
    <w:locked/>
    <w:rsid w:val="005E52D5"/>
    <w:rPr>
      <w:rFonts w:ascii="Times New Roman" w:eastAsia="Times New Roman" w:hAnsi="Times New Roman" w:cs="Times New Roman"/>
      <w:kern w:val="0"/>
      <w:sz w:val="24"/>
      <w:szCs w:val="24"/>
      <w:lang w:eastAsia="vi-VN"/>
    </w:rPr>
  </w:style>
  <w:style w:type="paragraph" w:styleId="BodyTextIndent2">
    <w:name w:val="Body Text Indent 2"/>
    <w:basedOn w:val="Normal"/>
    <w:link w:val="BodyTextIndent2Char"/>
    <w:rsid w:val="005E52D5"/>
    <w:pPr>
      <w:spacing w:after="120" w:line="480" w:lineRule="auto"/>
      <w:ind w:left="360"/>
    </w:pPr>
    <w:rPr>
      <w:lang w:val="x-none" w:eastAsia="x-none"/>
    </w:rPr>
  </w:style>
  <w:style w:type="character" w:customStyle="1" w:styleId="BodyTextIndent2Char">
    <w:name w:val="Body Text Indent 2 Char"/>
    <w:basedOn w:val="DefaultParagraphFont"/>
    <w:link w:val="BodyTextIndent2"/>
    <w:rsid w:val="005E52D5"/>
    <w:rPr>
      <w:rFonts w:ascii="Times New Roman" w:eastAsia="Times New Roman" w:hAnsi="Times New Roman" w:cs="Times New Roman"/>
      <w:kern w:val="0"/>
      <w:sz w:val="28"/>
      <w:szCs w:val="28"/>
      <w:lang w:val="x-none" w:eastAsia="x-none"/>
    </w:rPr>
  </w:style>
  <w:style w:type="table" w:styleId="TableGrid">
    <w:name w:val="Table Grid"/>
    <w:basedOn w:val="TableNormal"/>
    <w:uiPriority w:val="39"/>
    <w:rsid w:val="005E52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4E5E98"/>
    <w:rPr>
      <w:color w:val="0000FF"/>
      <w:u w:val="single"/>
    </w:rPr>
  </w:style>
  <w:style w:type="paragraph" w:styleId="FootnoteText">
    <w:name w:val="footnote text"/>
    <w:basedOn w:val="Normal"/>
    <w:link w:val="FootnoteTextChar"/>
    <w:uiPriority w:val="99"/>
    <w:semiHidden/>
    <w:unhideWhenUsed/>
    <w:rsid w:val="004B632A"/>
    <w:rPr>
      <w:sz w:val="20"/>
      <w:szCs w:val="20"/>
    </w:rPr>
  </w:style>
  <w:style w:type="character" w:customStyle="1" w:styleId="FootnoteTextChar">
    <w:name w:val="Footnote Text Char"/>
    <w:basedOn w:val="DefaultParagraphFont"/>
    <w:link w:val="FootnoteText"/>
    <w:uiPriority w:val="99"/>
    <w:semiHidden/>
    <w:rsid w:val="004B632A"/>
    <w:rPr>
      <w:rFonts w:ascii="Times New Roman" w:eastAsia="Times New Roman" w:hAnsi="Times New Roman" w:cs="Times New Roman"/>
      <w:kern w:val="0"/>
      <w:sz w:val="20"/>
      <w:szCs w:val="20"/>
      <w:lang w:val="en-US"/>
    </w:rPr>
  </w:style>
  <w:style w:type="character" w:styleId="FootnoteReference">
    <w:name w:val="footnote reference"/>
    <w:basedOn w:val="DefaultParagraphFont"/>
    <w:uiPriority w:val="99"/>
    <w:semiHidden/>
    <w:unhideWhenUsed/>
    <w:rsid w:val="004B6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34-2016-nd-cp-quy-dinh-chi-tiet-bien-phap-thi-hanh-luat-ban-hanh-van-ban-quy-pham-phap-luat-312070.asp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ngbaothainguyen.gov.vn/trang-chu?p_p_id=frontend_WAR_portaltnncongbaoportlet&amp;p_p_lifecycle=0&amp;p_p_state=normal&amp;p_p_mode=view&amp;p_p_col_id=column-1&amp;p_p_col_pos=1&amp;p_p_col_count=5&amp;_frontend_WAR_portaltnncongbaoportlet_vanBanId=271827&amp;_frontend_WAR_portaltnncongbaoportlet_backUrl=http%3A%2F%2Fcongbaothainguyen.gov.vn%2Ftrang-chu%3Fp_p_id%3Dfrontend_WAR_portaltnncongbaoportlet%26p_p_lifecycle%3D0%26p_p_state%3Dnormal%26p_p_mode%3Dview%26p_p_col_id%3Dcolumn-1%26p_p_col_pos%3D1%26p_p_col_count%3D5%26_frontend_WAR_portaltnncongbaoportlet_year%3D2020%26_frontend_WAR_portaltnncongbaoportlet_congBaoId%3D56003&amp;_frontend_WAR_portaltnncongbaoportlet_mvcPath=%2Fhtml%2Ffrontend%2Fdetail.jsp&amp;_frontend_WAR_portaltnncongbaoportlet_congBaoId=56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D0829-D28B-496D-961F-75DD2FA34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2023-07-25T09:32:00Z</cp:lastPrinted>
  <dcterms:created xsi:type="dcterms:W3CDTF">2023-08-16T04:31:00Z</dcterms:created>
  <dcterms:modified xsi:type="dcterms:W3CDTF">2024-05-09T03:07:00Z</dcterms:modified>
</cp:coreProperties>
</file>