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0"/>
        <w:gridCol w:w="221"/>
      </w:tblGrid>
      <w:tr w:rsidR="009F3353" w:rsidRPr="009F3353" w14:paraId="0C34293C" w14:textId="77777777" w:rsidTr="009F3353">
        <w:trPr>
          <w:trHeight w:val="840"/>
        </w:trPr>
        <w:tc>
          <w:tcPr>
            <w:tcW w:w="8850" w:type="dxa"/>
          </w:tcPr>
          <w:tbl>
            <w:tblPr>
              <w:tblW w:w="9389" w:type="dxa"/>
              <w:tblLook w:val="0000" w:firstRow="0" w:lastRow="0" w:firstColumn="0" w:lastColumn="0" w:noHBand="0" w:noVBand="0"/>
            </w:tblPr>
            <w:tblGrid>
              <w:gridCol w:w="3528"/>
              <w:gridCol w:w="5861"/>
            </w:tblGrid>
            <w:tr w:rsidR="009F3353" w:rsidRPr="009F3353" w14:paraId="1C2A9B56" w14:textId="77777777" w:rsidTr="006D40EB">
              <w:tc>
                <w:tcPr>
                  <w:tcW w:w="3528" w:type="dxa"/>
                </w:tcPr>
                <w:p w14:paraId="30D4071E" w14:textId="77777777" w:rsidR="00ED2589" w:rsidRPr="009F3353" w:rsidRDefault="00ED2589" w:rsidP="00ED2589">
                  <w:pPr>
                    <w:jc w:val="center"/>
                    <w:rPr>
                      <w:sz w:val="26"/>
                      <w:szCs w:val="26"/>
                    </w:rPr>
                  </w:pPr>
                  <w:r w:rsidRPr="009F3353">
                    <w:rPr>
                      <w:sz w:val="26"/>
                      <w:szCs w:val="26"/>
                    </w:rPr>
                    <w:t>UBND TỈNH THÁI NGUYÊN</w:t>
                  </w:r>
                </w:p>
              </w:tc>
              <w:tc>
                <w:tcPr>
                  <w:tcW w:w="5861" w:type="dxa"/>
                </w:tcPr>
                <w:p w14:paraId="5121E3BD" w14:textId="77777777" w:rsidR="00ED2589" w:rsidRPr="009F3353" w:rsidRDefault="00ED2589" w:rsidP="00ED2589">
                  <w:pPr>
                    <w:jc w:val="center"/>
                    <w:rPr>
                      <w:b/>
                      <w:sz w:val="26"/>
                    </w:rPr>
                  </w:pPr>
                  <w:r w:rsidRPr="009F3353">
                    <w:rPr>
                      <w:b/>
                      <w:sz w:val="26"/>
                    </w:rPr>
                    <w:t>CỘNG HOÀ XÃ HỘI CHỦ NGHĨA VIỆT NAM</w:t>
                  </w:r>
                </w:p>
              </w:tc>
            </w:tr>
            <w:tr w:rsidR="009F3353" w:rsidRPr="009F3353" w14:paraId="0DC04701" w14:textId="77777777" w:rsidTr="006D40EB">
              <w:tc>
                <w:tcPr>
                  <w:tcW w:w="3528" w:type="dxa"/>
                </w:tcPr>
                <w:p w14:paraId="2995E545" w14:textId="77777777" w:rsidR="00ED2589" w:rsidRPr="009F3353" w:rsidRDefault="00ED2589" w:rsidP="00ED2589">
                  <w:pPr>
                    <w:jc w:val="center"/>
                    <w:rPr>
                      <w:b/>
                    </w:rPr>
                  </w:pPr>
                  <w:r w:rsidRPr="009F3353">
                    <w:rPr>
                      <w:b/>
                    </w:rPr>
                    <w:t>SỞ TÀI CHÍNH</w:t>
                  </w:r>
                </w:p>
              </w:tc>
              <w:tc>
                <w:tcPr>
                  <w:tcW w:w="5861" w:type="dxa"/>
                </w:tcPr>
                <w:p w14:paraId="7689564A" w14:textId="77777777" w:rsidR="00ED2589" w:rsidRPr="009F3353" w:rsidRDefault="00ED2589" w:rsidP="00ED2589">
                  <w:pPr>
                    <w:jc w:val="center"/>
                    <w:rPr>
                      <w:b/>
                      <w:lang w:val="pt-BR"/>
                    </w:rPr>
                  </w:pPr>
                  <w:r w:rsidRPr="009F3353">
                    <w:rPr>
                      <w:b/>
                      <w:lang w:val="pt-BR"/>
                    </w:rPr>
                    <w:t>Độc lập - Tự do - Hạnh phúc</w:t>
                  </w:r>
                </w:p>
              </w:tc>
            </w:tr>
            <w:tr w:rsidR="009F3353" w:rsidRPr="009F3353" w14:paraId="08C598CE" w14:textId="77777777" w:rsidTr="006D40EB">
              <w:tc>
                <w:tcPr>
                  <w:tcW w:w="3528" w:type="dxa"/>
                </w:tcPr>
                <w:p w14:paraId="2470970E" w14:textId="77777777" w:rsidR="00ED2589" w:rsidRPr="009F3353" w:rsidRDefault="00ED2589" w:rsidP="00ED2589">
                  <w:pPr>
                    <w:spacing w:before="360"/>
                    <w:jc w:val="center"/>
                  </w:pPr>
                  <w:r w:rsidRPr="009F3353">
                    <w:rPr>
                      <w:noProof/>
                      <w14:ligatures w14:val="standardContextual"/>
                    </w:rPr>
                    <mc:AlternateContent>
                      <mc:Choice Requires="wps">
                        <w:drawing>
                          <wp:anchor distT="0" distB="0" distL="114300" distR="114300" simplePos="0" relativeHeight="251659264" behindDoc="0" locked="0" layoutInCell="1" allowOverlap="1" wp14:anchorId="1D629755" wp14:editId="6A545D43">
                            <wp:simplePos x="0" y="0"/>
                            <wp:positionH relativeFrom="column">
                              <wp:posOffset>765810</wp:posOffset>
                            </wp:positionH>
                            <wp:positionV relativeFrom="paragraph">
                              <wp:posOffset>19050</wp:posOffset>
                            </wp:positionV>
                            <wp:extent cx="542925" cy="0"/>
                            <wp:effectExtent l="0" t="0" r="0" b="0"/>
                            <wp:wrapNone/>
                            <wp:docPr id="1868863442" name="Straight Connector 3"/>
                            <wp:cNvGraphicFramePr/>
                            <a:graphic xmlns:a="http://schemas.openxmlformats.org/drawingml/2006/main">
                              <a:graphicData uri="http://schemas.microsoft.com/office/word/2010/wordprocessingShape">
                                <wps:wsp>
                                  <wps:cNvCnPr/>
                                  <wps:spPr>
                                    <a:xfrm>
                                      <a:off x="0" y="0"/>
                                      <a:ext cx="542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9D92F6"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0.3pt,1.5pt" to="103.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hsemAEAAIcDAAAOAAAAZHJzL2Uyb0RvYy54bWysU02P0zAQvSPxHyzfadKKRRA13cOu4IJg&#10;BewP8DrjxsL2WGPTpP+esdumCBBCiIvjj/fezJuZbG9n78QBKFkMvVyvWikgaBxs2Pfy8cvbF6+l&#10;SFmFQTkM0MsjJHm7e/5sO8UONjiiG4AEi4TUTbGXY86xa5qkR/AqrTBC4EeD5FXmI+2bgdTE6t41&#10;m7Z91UxIQyTUkBLf3p8e5a7qGwM6fzQmQRaul5xbrivV9amszW6ruj2pOFp9TkP9QxZe2cBBF6l7&#10;lZX4RvYXKW81YUKTVxp9g8ZYDdUDu1m3P7n5PKoI1QsXJ8WlTOn/yeoPh7vwQFyGKaYuxQcqLmZD&#10;vnw5PzHXYh2XYsGchebLm5ebN5sbKfTlqbnyIqX8DtCLsumls6HYUJ06vE+ZYzH0AuHDNXLd5aOD&#10;AnbhExhhB461ruw6FHDnSBwUt3P4ui7tY62KLBRjnVtI7Z9JZ2yhQR2UvyUu6BoRQ16I3gak30XN&#10;8yVVc8JfXJ+8FttPOBxrH2o5uNvV2Xkyyzj9eK706/+z+w4AAP//AwBQSwMEFAAGAAgAAAAhAIIf&#10;ua7aAAAABwEAAA8AAABkcnMvZG93bnJldi54bWxMj8tOwzAQRfdI/IM1SOyo0yK1VRqnQjxWsAiB&#10;BctpPE2ixuModpPA1zOwgeXRvbpzJtvPrlMjDaH1bGC5SEARV962XBt4f3u62YIKEdli55kMfFKA&#10;fX55kWFq/cSvNJaxVjLCIUUDTYx9qnWoGnIYFr4nluzoB4dRcKi1HXCScdfpVZKstcOW5UKDPd03&#10;VJ3KszOweXwui356ePkq9EYXxejj9vRhzPXVfLcDFWmOf2X40Rd1yMXp4M9sg+qEV8laqgZu5SXJ&#10;BZegDr+s80z/98+/AQAA//8DAFBLAQItABQABgAIAAAAIQC2gziS/gAAAOEBAAATAAAAAAAAAAAA&#10;AAAAAAAAAABbQ29udGVudF9UeXBlc10ueG1sUEsBAi0AFAAGAAgAAAAhADj9If/WAAAAlAEAAAsA&#10;AAAAAAAAAAAAAAAALwEAAF9yZWxzLy5yZWxzUEsBAi0AFAAGAAgAAAAhANYeGx6YAQAAhwMAAA4A&#10;AAAAAAAAAAAAAAAALgIAAGRycy9lMm9Eb2MueG1sUEsBAi0AFAAGAAgAAAAhAIIfua7aAAAABwEA&#10;AA8AAAAAAAAAAAAAAAAA8gMAAGRycy9kb3ducmV2LnhtbFBLBQYAAAAABAAEAPMAAAD5BAAAAAA=&#10;" strokecolor="black [3040]"/>
                        </w:pict>
                      </mc:Fallback>
                    </mc:AlternateContent>
                  </w:r>
                  <w:r w:rsidRPr="009F3353">
                    <w:t>Số:          /TTr-STC</w:t>
                  </w:r>
                </w:p>
              </w:tc>
              <w:tc>
                <w:tcPr>
                  <w:tcW w:w="5861" w:type="dxa"/>
                </w:tcPr>
                <w:p w14:paraId="0E5FB594" w14:textId="352D278F" w:rsidR="00ED2589" w:rsidRPr="009F3353" w:rsidRDefault="00ED2589" w:rsidP="006D40EB">
                  <w:pPr>
                    <w:keepNext/>
                    <w:spacing w:before="360"/>
                    <w:ind w:right="-244"/>
                    <w:outlineLvl w:val="0"/>
                    <w:rPr>
                      <w:i/>
                      <w:iCs/>
                    </w:rPr>
                  </w:pPr>
                  <w:r w:rsidRPr="009F3353">
                    <w:rPr>
                      <w:i/>
                      <w:iCs/>
                      <w:noProof/>
                      <w14:ligatures w14:val="standardContextual"/>
                    </w:rPr>
                    <mc:AlternateContent>
                      <mc:Choice Requires="wps">
                        <w:drawing>
                          <wp:anchor distT="0" distB="0" distL="114300" distR="114300" simplePos="0" relativeHeight="251660288" behindDoc="0" locked="0" layoutInCell="1" allowOverlap="1" wp14:anchorId="418AB4D2" wp14:editId="0147C232">
                            <wp:simplePos x="0" y="0"/>
                            <wp:positionH relativeFrom="column">
                              <wp:posOffset>648970</wp:posOffset>
                            </wp:positionH>
                            <wp:positionV relativeFrom="paragraph">
                              <wp:posOffset>19050</wp:posOffset>
                            </wp:positionV>
                            <wp:extent cx="2162175" cy="0"/>
                            <wp:effectExtent l="0" t="0" r="0" b="0"/>
                            <wp:wrapNone/>
                            <wp:docPr id="351922877" name="Straight Connector 4"/>
                            <wp:cNvGraphicFramePr/>
                            <a:graphic xmlns:a="http://schemas.openxmlformats.org/drawingml/2006/main">
                              <a:graphicData uri="http://schemas.microsoft.com/office/word/2010/wordprocessingShape">
                                <wps:wsp>
                                  <wps:cNvCnPr/>
                                  <wps:spPr>
                                    <a:xfrm>
                                      <a:off x="0" y="0"/>
                                      <a:ext cx="2162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7E4153"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1pt,1.5pt" to="221.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E7rmgEAAIgDAAAOAAAAZHJzL2Uyb0RvYy54bWysU01P3DAQvSPxHyzf2SQrFVC0WQ6g9oJa&#10;1MIPMM54Y2F7LNtssv+esXc3W0FVVRUXxx/vvZk3M1ndTNawLYSo0XW8WdScgZPYa7fp+NPj14tr&#10;zmISrhcGHXR8B5HfrM/PVqNvYYkDmh4CIxEX29F3fEjJt1UV5QBWxAV6cPSoMFiR6Bg2VR/ESOrW&#10;VMu6vqxGDL0PKCFGur3bP/J10VcKZPqhVITETMcpt1TWUNbnvFbrlWg3QfhBy0Ma4j+ysEI7CjpL&#10;3Ykk2GvQH6SslgEjqrSQaCtUSksoHshNU79z82sQHooXKk70c5ni58nK79tb9xCoDKOPbfQPIbuY&#10;VLD5S/mxqRRrNxcLpsQkXS6by2Vz9YUzeXyrTkQfYvoGaFnedNxol32IVmzvY6JgBD1C6HAKXXZp&#10;ZyCDjfsJiumegjWFXaYCbk1gW0H97F+a3D/SKshMUdqYmVT/nXTAZhqUSflX4owuEdGlmWi1w/Cn&#10;qGk6pqr2+KPrvdds+xn7XWlEKQe1uzg7jGaep9/PhX76gdZvAAAA//8DAFBLAwQUAAYACAAAACEA&#10;0gmSVNsAAAAHAQAADwAAAGRycy9kb3ducmV2LnhtbEyPQU+DQBCF7yb9D5tp4s0uYiMNZWmaqic9&#10;IHroccuOQMrOEnYL6K939KLHL+/lzTfZbradGHHwrSMFt6sIBFLlTEu1gve3p5sNCB80Gd05QgWf&#10;6GGXL64ynRo30SuOZagFj5BPtYImhD6V0lcNWu1Xrkfi7MMNVgfGoZZm0BOP207GUXQvrW6JLzS6&#10;x0OD1bm8WAXJ43NZ9NPDy1chE1kUowub81Gp6+W834IIOIe/Mvzoszrk7HRyFzJedMxRHHNVwR2/&#10;xPl6HScgTr8s80z+98+/AQAA//8DAFBLAQItABQABgAIAAAAIQC2gziS/gAAAOEBAAATAAAAAAAA&#10;AAAAAAAAAAAAAABbQ29udGVudF9UeXBlc10ueG1sUEsBAi0AFAAGAAgAAAAhADj9If/WAAAAlAEA&#10;AAsAAAAAAAAAAAAAAAAALwEAAF9yZWxzLy5yZWxzUEsBAi0AFAAGAAgAAAAhAPlATuuaAQAAiAMA&#10;AA4AAAAAAAAAAAAAAAAALgIAAGRycy9lMm9Eb2MueG1sUEsBAi0AFAAGAAgAAAAhANIJklTbAAAA&#10;BwEAAA8AAAAAAAAAAAAAAAAA9AMAAGRycy9kb3ducmV2LnhtbFBLBQYAAAAABAAEAPMAAAD8BAAA&#10;AAA=&#10;" strokecolor="black [3040]"/>
                        </w:pict>
                      </mc:Fallback>
                    </mc:AlternateContent>
                  </w:r>
                  <w:r w:rsidRPr="009F3353">
                    <w:rPr>
                      <w:i/>
                      <w:iCs/>
                    </w:rPr>
                    <w:t xml:space="preserve">Thái Nguyên, ngày         tháng </w:t>
                  </w:r>
                  <w:r w:rsidR="00FB03DB">
                    <w:rPr>
                      <w:i/>
                      <w:iCs/>
                    </w:rPr>
                    <w:t xml:space="preserve">   </w:t>
                  </w:r>
                  <w:r w:rsidRPr="009F3353">
                    <w:rPr>
                      <w:i/>
                      <w:iCs/>
                    </w:rPr>
                    <w:t xml:space="preserve"> năm 202</w:t>
                  </w:r>
                  <w:r w:rsidR="006D40EB" w:rsidRPr="009F3353">
                    <w:rPr>
                      <w:i/>
                      <w:iCs/>
                    </w:rPr>
                    <w:t>4</w:t>
                  </w:r>
                </w:p>
              </w:tc>
            </w:tr>
          </w:tbl>
          <w:p w14:paraId="1852F1C6" w14:textId="72F94098" w:rsidR="00D55914" w:rsidRPr="009F3353" w:rsidRDefault="00D55914" w:rsidP="00ED2589">
            <w:pPr>
              <w:spacing w:before="480"/>
              <w:jc w:val="center"/>
              <w:rPr>
                <w:b/>
                <w:sz w:val="26"/>
                <w:szCs w:val="26"/>
                <w:lang w:val="pt-BR"/>
              </w:rPr>
            </w:pPr>
          </w:p>
        </w:tc>
        <w:tc>
          <w:tcPr>
            <w:tcW w:w="221" w:type="dxa"/>
          </w:tcPr>
          <w:p w14:paraId="672B8903" w14:textId="17B0C16D" w:rsidR="00D55914" w:rsidRPr="009F3353" w:rsidRDefault="00D55914" w:rsidP="00D55914">
            <w:pPr>
              <w:jc w:val="center"/>
              <w:rPr>
                <w:b/>
                <w:sz w:val="26"/>
                <w:szCs w:val="26"/>
                <w:lang w:val="pt-BR"/>
              </w:rPr>
            </w:pPr>
          </w:p>
        </w:tc>
      </w:tr>
      <w:tr w:rsidR="009F3353" w:rsidRPr="009F3353" w14:paraId="3212F44F" w14:textId="77777777" w:rsidTr="009F3353">
        <w:tc>
          <w:tcPr>
            <w:tcW w:w="8850" w:type="dxa"/>
          </w:tcPr>
          <w:p w14:paraId="481EA0EA" w14:textId="511AE616" w:rsidR="00D55914" w:rsidRPr="009F3353" w:rsidRDefault="00D55914" w:rsidP="00D55914">
            <w:pPr>
              <w:spacing w:line="288" w:lineRule="auto"/>
              <w:jc w:val="center"/>
              <w:rPr>
                <w:lang w:val="pt-BR"/>
              </w:rPr>
            </w:pPr>
          </w:p>
        </w:tc>
        <w:tc>
          <w:tcPr>
            <w:tcW w:w="221" w:type="dxa"/>
          </w:tcPr>
          <w:p w14:paraId="5A0FFABC" w14:textId="5F300ACB" w:rsidR="00D55914" w:rsidRPr="009F3353" w:rsidRDefault="00D55914" w:rsidP="00866484">
            <w:pPr>
              <w:jc w:val="center"/>
              <w:rPr>
                <w:b/>
                <w:sz w:val="26"/>
                <w:szCs w:val="26"/>
                <w:lang w:val="pt-BR"/>
              </w:rPr>
            </w:pPr>
          </w:p>
        </w:tc>
      </w:tr>
    </w:tbl>
    <w:p w14:paraId="4EEEDFE8" w14:textId="77777777" w:rsidR="009F3353" w:rsidRPr="009F3353" w:rsidRDefault="009F3353" w:rsidP="009F3353">
      <w:pPr>
        <w:jc w:val="center"/>
        <w:rPr>
          <w:b/>
          <w:lang w:val="pt-BR"/>
        </w:rPr>
      </w:pPr>
      <w:r w:rsidRPr="009F3353">
        <w:rPr>
          <w:b/>
          <w:lang w:val="pt-BR"/>
        </w:rPr>
        <w:t>TỜ TRÌNH</w:t>
      </w:r>
    </w:p>
    <w:p w14:paraId="43D0BF1D" w14:textId="7D457D89" w:rsidR="009F3353" w:rsidRPr="00796152" w:rsidRDefault="00796152" w:rsidP="00796152">
      <w:pPr>
        <w:jc w:val="center"/>
        <w:rPr>
          <w:rFonts w:ascii="Times New Roman Bold" w:hAnsi="Times New Roman Bold"/>
          <w:b/>
          <w:spacing w:val="-8"/>
        </w:rPr>
      </w:pPr>
      <w:r>
        <w:rPr>
          <w:rFonts w:ascii="Times New Roman Bold" w:hAnsi="Times New Roman Bold"/>
          <w:b/>
          <w:spacing w:val="-8"/>
          <w:lang w:val="pt-BR"/>
        </w:rPr>
        <w:t>Dự thảo Quyết định quy định</w:t>
      </w:r>
      <w:r w:rsidR="009F3353" w:rsidRPr="009F3353">
        <w:rPr>
          <w:rFonts w:ascii="Times New Roman Bold" w:hAnsi="Times New Roman Bold"/>
          <w:b/>
          <w:spacing w:val="-8"/>
          <w:lang w:val="pt-BR"/>
        </w:rPr>
        <w:t xml:space="preserve"> mức tỷ lệ phần trăm (%) </w:t>
      </w:r>
      <w:r w:rsidR="009F3353" w:rsidRPr="009F3353">
        <w:rPr>
          <w:rFonts w:ascii="Times New Roman Bold" w:hAnsi="Times New Roman Bold"/>
          <w:b/>
          <w:spacing w:val="-8"/>
        </w:rPr>
        <w:t>để tính đơn giá thuê đất, mức tỷ lệ (%) thu đối với đất xây dựng công trình ngầm, mức tỷ lệ (%) thu đối với đất có mặt nước trên địa bàn tỉnh Thái Nguyên</w:t>
      </w:r>
    </w:p>
    <w:p w14:paraId="3A40899C" w14:textId="77777777" w:rsidR="009F3353" w:rsidRPr="009F3353" w:rsidRDefault="009F3353" w:rsidP="009F3353">
      <w:pPr>
        <w:jc w:val="center"/>
        <w:rPr>
          <w:b/>
          <w:spacing w:val="4"/>
          <w:lang w:val="pt-BR"/>
        </w:rPr>
      </w:pPr>
      <w:r w:rsidRPr="009F3353">
        <w:rPr>
          <w:b/>
          <w:noProof/>
          <w:spacing w:val="4"/>
          <w:lang w:val="vi-VN" w:eastAsia="vi-VN"/>
        </w:rPr>
        <mc:AlternateContent>
          <mc:Choice Requires="wps">
            <w:drawing>
              <wp:anchor distT="4294967293" distB="4294967293" distL="114300" distR="114300" simplePos="0" relativeHeight="251662336" behindDoc="0" locked="0" layoutInCell="1" allowOverlap="1" wp14:anchorId="293952BA" wp14:editId="17277148">
                <wp:simplePos x="0" y="0"/>
                <wp:positionH relativeFrom="column">
                  <wp:posOffset>2370455</wp:posOffset>
                </wp:positionH>
                <wp:positionV relativeFrom="paragraph">
                  <wp:posOffset>19049</wp:posOffset>
                </wp:positionV>
                <wp:extent cx="1028700" cy="0"/>
                <wp:effectExtent l="0" t="0" r="0" b="0"/>
                <wp:wrapNone/>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89875" id="Line 16"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86.65pt,1.5pt" to="26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8nVrw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S7r1e2nOvVE&#10;XWIVNJfCQBy/GhxF3rTSWZ99gAaOjxwzEWguKfna44N1rvTSeTG18vPN6qYUMDqrczCnMfX7rSNx&#10;hDwN5SuqUuRtGuHB6wI2GNBfzvsI1r3s0+POn83I+vOwcbNHfdrRxaTUrsLyPFp5Ht6eS/XrD7D5&#10;DQAA//8DAFBLAwQUAAYACAAAACEAahQP1toAAAAHAQAADwAAAGRycy9kb3ducmV2LnhtbEyPwU7D&#10;MBBE70j8g7VIXCrqUKuAQpwKAblxoYC4buMliYjXaey2ga9n6QVuO5rR7JtiNfle7WmMXWALl/MM&#10;FHEdXMeNhdeX6uIGVEzIDvvAZOGLIqzK05MCcxcO/Ez7dWqUlHDM0UKb0pBrHeuWPMZ5GIjF+wij&#10;xyRybLQb8SDlvteLLLvSHjuWDy0OdN9S/bneeQuxeqNt9T2rZ9m7aQIttg9Pj2jt+dl0dwsq0ZT+&#10;wvCLL+hQCtMm7NhF1Vsw18ZIVA6ZJP7SLEVvjlqXhf7PX/4AAAD//wMAUEsBAi0AFAAGAAgAAAAh&#10;ALaDOJL+AAAA4QEAABMAAAAAAAAAAAAAAAAAAAAAAFtDb250ZW50X1R5cGVzXS54bWxQSwECLQAU&#10;AAYACAAAACEAOP0h/9YAAACUAQAACwAAAAAAAAAAAAAAAAAvAQAAX3JlbHMvLnJlbHNQSwECLQAU&#10;AAYACAAAACEAkgPJ1a8BAABIAwAADgAAAAAAAAAAAAAAAAAuAgAAZHJzL2Uyb0RvYy54bWxQSwEC&#10;LQAUAAYACAAAACEAahQP1toAAAAHAQAADwAAAAAAAAAAAAAAAAAJBAAAZHJzL2Rvd25yZXYueG1s&#10;UEsFBgAAAAAEAAQA8wAAABAFAAAAAA==&#10;"/>
            </w:pict>
          </mc:Fallback>
        </mc:AlternateContent>
      </w:r>
    </w:p>
    <w:p w14:paraId="58EC09DA" w14:textId="77777777" w:rsidR="009F3353" w:rsidRPr="009F3353" w:rsidRDefault="009F3353" w:rsidP="009F3353">
      <w:pPr>
        <w:jc w:val="center"/>
        <w:rPr>
          <w:lang w:val="pt-BR"/>
        </w:rPr>
      </w:pPr>
      <w:r w:rsidRPr="009F3353">
        <w:rPr>
          <w:lang w:val="pt-BR"/>
        </w:rPr>
        <w:t>Kính gửi: Uỷ ban nhân dân tỉnh Thái Nguyên.</w:t>
      </w:r>
    </w:p>
    <w:p w14:paraId="7242C469" w14:textId="77777777" w:rsidR="009F3353" w:rsidRPr="009F3353" w:rsidRDefault="009F3353" w:rsidP="009F3353">
      <w:pPr>
        <w:tabs>
          <w:tab w:val="left" w:pos="720"/>
          <w:tab w:val="left" w:pos="1440"/>
          <w:tab w:val="left" w:pos="2160"/>
          <w:tab w:val="left" w:pos="2865"/>
        </w:tabs>
        <w:spacing w:line="360" w:lineRule="atLeast"/>
        <w:jc w:val="both"/>
        <w:rPr>
          <w:b/>
          <w:lang w:val="pt-BR"/>
        </w:rPr>
      </w:pPr>
      <w:r w:rsidRPr="009F3353">
        <w:rPr>
          <w:b/>
          <w:lang w:val="pt-BR"/>
        </w:rPr>
        <w:tab/>
      </w:r>
    </w:p>
    <w:p w14:paraId="0675F6A5" w14:textId="2EB5427E" w:rsidR="009F3353" w:rsidRPr="009F3353" w:rsidRDefault="009F3353" w:rsidP="003F03FA">
      <w:pPr>
        <w:tabs>
          <w:tab w:val="left" w:pos="720"/>
          <w:tab w:val="left" w:pos="1440"/>
          <w:tab w:val="left" w:pos="2160"/>
          <w:tab w:val="left" w:pos="2865"/>
        </w:tabs>
        <w:spacing w:before="120" w:line="360" w:lineRule="exact"/>
        <w:jc w:val="both"/>
        <w:rPr>
          <w:spacing w:val="-4"/>
          <w:lang w:val="pt-BR"/>
        </w:rPr>
      </w:pPr>
      <w:r w:rsidRPr="009F3353">
        <w:rPr>
          <w:b/>
          <w:lang w:val="pt-BR"/>
        </w:rPr>
        <w:tab/>
      </w:r>
      <w:r w:rsidRPr="009F3353">
        <w:rPr>
          <w:lang w:val="pt-BR"/>
        </w:rPr>
        <w:t xml:space="preserve">Thực hiện Nghị định số 103/2024/NĐ-CP ngày </w:t>
      </w:r>
      <w:r w:rsidRPr="009F3353">
        <w:rPr>
          <w:spacing w:val="-4"/>
          <w:lang w:val="pt-BR"/>
        </w:rPr>
        <w:t xml:space="preserve">30/7/2024 của Chính phủ quy định về tiền sử dụng đất, tiền thuê đất </w:t>
      </w:r>
      <w:r w:rsidRPr="009F3353">
        <w:rPr>
          <w:lang w:val="pt-BR"/>
        </w:rPr>
        <w:t xml:space="preserve">và nhiệm vụ do </w:t>
      </w:r>
      <w:r w:rsidRPr="009F3353">
        <w:rPr>
          <w:spacing w:val="-2"/>
          <w:lang w:val="nl-NL"/>
        </w:rPr>
        <w:t xml:space="preserve">UBND tỉnh giao tại Văn bản số </w:t>
      </w:r>
      <w:r w:rsidR="00796152">
        <w:t>6497/UBND -KT ngày 06/11/2024 về việc xây dựng Quyết định quy phạm pháp luật của UBND tỉnh</w:t>
      </w:r>
      <w:r w:rsidR="00796152">
        <w:rPr>
          <w:spacing w:val="-4"/>
        </w:rPr>
        <w:t>,</w:t>
      </w:r>
    </w:p>
    <w:p w14:paraId="7683CD36" w14:textId="2C5C8F5A" w:rsidR="009F3353" w:rsidRPr="009F3353" w:rsidRDefault="009F3353" w:rsidP="003F03FA">
      <w:pPr>
        <w:tabs>
          <w:tab w:val="left" w:pos="720"/>
          <w:tab w:val="left" w:pos="1440"/>
          <w:tab w:val="left" w:pos="2160"/>
          <w:tab w:val="left" w:pos="2865"/>
        </w:tabs>
        <w:spacing w:before="120" w:line="360" w:lineRule="exact"/>
        <w:jc w:val="both"/>
        <w:rPr>
          <w:iCs/>
          <w:lang w:val="pt-BR"/>
        </w:rPr>
      </w:pPr>
      <w:r w:rsidRPr="009F3353">
        <w:rPr>
          <w:spacing w:val="-4"/>
          <w:lang w:val="pt-BR"/>
        </w:rPr>
        <w:tab/>
        <w:t xml:space="preserve">Sở Tài chính </w:t>
      </w:r>
      <w:r w:rsidRPr="009F3353">
        <w:rPr>
          <w:shd w:val="clear" w:color="auto" w:fill="FFFFFF"/>
          <w:lang w:val="pt-BR"/>
        </w:rPr>
        <w:t xml:space="preserve">kính đề nghị Ủy ban nhân dân tỉnh </w:t>
      </w:r>
      <w:r w:rsidR="00796152">
        <w:rPr>
          <w:shd w:val="clear" w:color="auto" w:fill="FFFFFF"/>
          <w:lang w:val="pt-BR"/>
        </w:rPr>
        <w:t>Dự thảo Quyết định quy định</w:t>
      </w:r>
      <w:r w:rsidRPr="009F3353">
        <w:rPr>
          <w:bCs/>
          <w:lang w:val="pt-BR"/>
        </w:rPr>
        <w:t xml:space="preserve"> mức tỷ lệ phần trăm (%) </w:t>
      </w:r>
      <w:r w:rsidRPr="009F3353">
        <w:rPr>
          <w:bCs/>
        </w:rPr>
        <w:t xml:space="preserve">để tính đơn giá thuê đất, mức tỷ lệ (%) thu đối với đất xây dựng công trình ngầm, mức tỷ lệ (%) thu đối với đất có mặt nước </w:t>
      </w:r>
      <w:r w:rsidRPr="009F3353">
        <w:rPr>
          <w:lang w:val="pt-BR"/>
        </w:rPr>
        <w:t>trên địa bàn tỉnh Thái Nguyên, nội dung cụ thể như sau:</w:t>
      </w:r>
    </w:p>
    <w:p w14:paraId="39649671" w14:textId="77777777" w:rsidR="009F3353" w:rsidRPr="009F3353" w:rsidRDefault="009F3353" w:rsidP="003F03FA">
      <w:pPr>
        <w:spacing w:before="120" w:line="360" w:lineRule="exact"/>
        <w:ind w:firstLine="567"/>
        <w:jc w:val="both"/>
        <w:rPr>
          <w:b/>
          <w:iCs/>
          <w:lang w:val="pt-BR"/>
        </w:rPr>
      </w:pPr>
      <w:r w:rsidRPr="009F3353">
        <w:rPr>
          <w:b/>
          <w:lang w:val="pt-BR"/>
        </w:rPr>
        <w:t xml:space="preserve">I. </w:t>
      </w:r>
      <w:r w:rsidRPr="009F3353">
        <w:rPr>
          <w:b/>
          <w:iCs/>
          <w:lang w:val="pt-BR"/>
        </w:rPr>
        <w:t>SỰ CẦN THIẾT BAN HÀNH NGHỊ QUYẾT</w:t>
      </w:r>
    </w:p>
    <w:p w14:paraId="62EC3069" w14:textId="77777777" w:rsidR="009F3353" w:rsidRPr="009F3353" w:rsidRDefault="009F3353" w:rsidP="003F03FA">
      <w:pPr>
        <w:spacing w:before="120" w:line="360" w:lineRule="exact"/>
        <w:ind w:firstLine="567"/>
        <w:jc w:val="both"/>
        <w:rPr>
          <w:bCs/>
          <w:iCs/>
          <w:lang w:val="pt-BR"/>
        </w:rPr>
      </w:pPr>
      <w:r w:rsidRPr="009F3353">
        <w:rPr>
          <w:bCs/>
          <w:iCs/>
          <w:lang w:val="pt-BR"/>
        </w:rPr>
        <w:t xml:space="preserve">Căn cứ Nghị định số 46/2014/NĐ-CP ngày 15/5/2014 của Chính phủ về thu tiền thuê đất, thuê mặt nước, UBND tỉnh Thái Nguyên đã ban hành Quyết định </w:t>
      </w:r>
      <w:r w:rsidRPr="009F3353">
        <w:rPr>
          <w:bCs/>
          <w:spacing w:val="-2"/>
        </w:rPr>
        <w:t>số 06/2019/QĐ-UBND ngày 18/4/2019 ban hành Quy định đơn giá thuê đất, thuê mặt nước trên địa bàn tỉnh Thái Nguyên.</w:t>
      </w:r>
    </w:p>
    <w:p w14:paraId="1A0A114D" w14:textId="77777777" w:rsidR="009F3353" w:rsidRPr="009F3353" w:rsidRDefault="009F3353" w:rsidP="003F03FA">
      <w:pPr>
        <w:spacing w:before="120" w:line="360" w:lineRule="exact"/>
        <w:ind w:firstLine="567"/>
        <w:jc w:val="both"/>
        <w:rPr>
          <w:rFonts w:asciiTheme="majorHAnsi" w:hAnsiTheme="majorHAnsi" w:cstheme="majorHAnsi"/>
          <w:lang w:val="pt-BR"/>
        </w:rPr>
      </w:pPr>
      <w:r w:rsidRPr="009F3353">
        <w:rPr>
          <w:rFonts w:asciiTheme="majorHAnsi" w:hAnsiTheme="majorHAnsi" w:cstheme="majorHAnsi"/>
          <w:lang w:val="pt-BR"/>
        </w:rPr>
        <w:t xml:space="preserve">Ngày 30/7/2024, Chính phủ ban hành Nghị định số 103/2024/NĐ-CP </w:t>
      </w:r>
      <w:r w:rsidRPr="009F3353">
        <w:rPr>
          <w:lang w:val="nl-NL"/>
        </w:rPr>
        <w:t>quy định về tiền sử dụng đất, tiền thuê đất</w:t>
      </w:r>
      <w:r w:rsidRPr="009F3353">
        <w:rPr>
          <w:rFonts w:asciiTheme="majorHAnsi" w:hAnsiTheme="majorHAnsi" w:cstheme="majorHAnsi"/>
          <w:lang w:val="pt-BR"/>
        </w:rPr>
        <w:t xml:space="preserve">. Nghị định này thay thế Nghị định số 46/2014/NĐ-CP ngày 15/5/2014 của Chính phủ.  </w:t>
      </w:r>
    </w:p>
    <w:p w14:paraId="0F4672B2" w14:textId="77777777" w:rsidR="009F3353" w:rsidRPr="009F3353" w:rsidRDefault="009F3353" w:rsidP="003F03FA">
      <w:pPr>
        <w:tabs>
          <w:tab w:val="left" w:pos="1121"/>
        </w:tabs>
        <w:spacing w:before="120" w:line="360" w:lineRule="exact"/>
        <w:ind w:firstLine="709"/>
        <w:contextualSpacing/>
      </w:pPr>
      <w:r w:rsidRPr="009F3353">
        <w:t>1. Tại khoản</w:t>
      </w:r>
      <w:r w:rsidRPr="009F3353">
        <w:rPr>
          <w:spacing w:val="2"/>
        </w:rPr>
        <w:t xml:space="preserve"> </w:t>
      </w:r>
      <w:r w:rsidRPr="009F3353">
        <w:t>1</w:t>
      </w:r>
      <w:r w:rsidRPr="009F3353">
        <w:rPr>
          <w:spacing w:val="6"/>
        </w:rPr>
        <w:t xml:space="preserve"> </w:t>
      </w:r>
      <w:r w:rsidRPr="009F3353">
        <w:t>Điều</w:t>
      </w:r>
      <w:r w:rsidRPr="009F3353">
        <w:rPr>
          <w:spacing w:val="6"/>
        </w:rPr>
        <w:t xml:space="preserve"> </w:t>
      </w:r>
      <w:r w:rsidRPr="009F3353">
        <w:rPr>
          <w:spacing w:val="-5"/>
        </w:rPr>
        <w:t>26 Nghị định số 103/2024/NĐ-CP quy định:</w:t>
      </w:r>
    </w:p>
    <w:p w14:paraId="1CAAC13A" w14:textId="77777777" w:rsidR="009F3353" w:rsidRPr="009F3353" w:rsidRDefault="009F3353" w:rsidP="003F03FA">
      <w:pPr>
        <w:shd w:val="clear" w:color="auto" w:fill="FFFFFF"/>
        <w:spacing w:before="120" w:line="360" w:lineRule="exact"/>
        <w:ind w:firstLine="709"/>
        <w:rPr>
          <w:i/>
        </w:rPr>
      </w:pPr>
      <w:r w:rsidRPr="009F3353">
        <w:rPr>
          <w:i/>
          <w:lang w:val="vi-VN"/>
        </w:rPr>
        <w:t>“</w:t>
      </w:r>
      <w:r w:rsidRPr="009F3353">
        <w:rPr>
          <w:i/>
          <w:lang w:val="en"/>
        </w:rPr>
        <w:t>1. Trư</w:t>
      </w:r>
      <w:r w:rsidRPr="009F3353">
        <w:rPr>
          <w:i/>
          <w:lang w:val="vi-VN"/>
        </w:rPr>
        <w:t>ờng hợp thu</w:t>
      </w:r>
      <w:r w:rsidRPr="009F3353">
        <w:rPr>
          <w:i/>
        </w:rPr>
        <w:t>ê đ</w:t>
      </w:r>
      <w:r w:rsidRPr="009F3353">
        <w:rPr>
          <w:i/>
          <w:lang w:val="vi-VN"/>
        </w:rPr>
        <w:t>ất trả tiền thu</w:t>
      </w:r>
      <w:r w:rsidRPr="009F3353">
        <w:rPr>
          <w:i/>
        </w:rPr>
        <w:t>ê đ</w:t>
      </w:r>
      <w:r w:rsidRPr="009F3353">
        <w:rPr>
          <w:i/>
          <w:lang w:val="vi-VN"/>
        </w:rPr>
        <w:t>ất hằng năm kh</w:t>
      </w:r>
      <w:r w:rsidRPr="009F3353">
        <w:rPr>
          <w:i/>
        </w:rPr>
        <w:t>ông thông qua hình th</w:t>
      </w:r>
      <w:r w:rsidRPr="009F3353">
        <w:rPr>
          <w:i/>
          <w:lang w:val="vi-VN"/>
        </w:rPr>
        <w:t>ức đấu gi</w:t>
      </w:r>
      <w:r w:rsidRPr="009F3353">
        <w:rPr>
          <w:i/>
        </w:rPr>
        <w:t>á:</w:t>
      </w:r>
    </w:p>
    <w:p w14:paraId="5DC38823" w14:textId="77777777" w:rsidR="009F3353" w:rsidRPr="009F3353" w:rsidRDefault="009F3353" w:rsidP="003F03FA">
      <w:pPr>
        <w:shd w:val="clear" w:color="auto" w:fill="FFFFFF"/>
        <w:spacing w:before="120" w:line="360" w:lineRule="exact"/>
        <w:ind w:firstLine="709"/>
        <w:rPr>
          <w:i/>
        </w:rPr>
      </w:pPr>
      <w:r w:rsidRPr="009F3353">
        <w:rPr>
          <w:i/>
          <w:lang w:val="en"/>
        </w:rPr>
        <w:t>Đơn giá thuê đ</w:t>
      </w:r>
      <w:r w:rsidRPr="009F3353">
        <w:rPr>
          <w:i/>
          <w:lang w:val="vi-VN"/>
        </w:rPr>
        <w:t>ất hằng năm = Tỷ lệ phần trăm (%) t</w:t>
      </w:r>
      <w:r w:rsidRPr="009F3353">
        <w:rPr>
          <w:i/>
        </w:rPr>
        <w:t>ính đơn giá thuê đ</w:t>
      </w:r>
      <w:r w:rsidRPr="009F3353">
        <w:rPr>
          <w:i/>
          <w:lang w:val="vi-VN"/>
        </w:rPr>
        <w:t>ất nh</w:t>
      </w:r>
      <w:r w:rsidRPr="009F3353">
        <w:rPr>
          <w:i/>
        </w:rPr>
        <w:t>ân (x) Giá đ</w:t>
      </w:r>
      <w:r w:rsidRPr="009F3353">
        <w:rPr>
          <w:i/>
          <w:lang w:val="vi-VN"/>
        </w:rPr>
        <w:t>ất t</w:t>
      </w:r>
      <w:r w:rsidRPr="009F3353">
        <w:rPr>
          <w:i/>
        </w:rPr>
        <w:t>ính ti</w:t>
      </w:r>
      <w:r w:rsidRPr="009F3353">
        <w:rPr>
          <w:i/>
          <w:lang w:val="vi-VN"/>
        </w:rPr>
        <w:t>ền thu</w:t>
      </w:r>
      <w:r w:rsidRPr="009F3353">
        <w:rPr>
          <w:i/>
        </w:rPr>
        <w:t>ê đ</w:t>
      </w:r>
      <w:r w:rsidRPr="009F3353">
        <w:rPr>
          <w:i/>
          <w:lang w:val="vi-VN"/>
        </w:rPr>
        <w:t>ất. Trong đ</w:t>
      </w:r>
      <w:r w:rsidRPr="009F3353">
        <w:rPr>
          <w:i/>
        </w:rPr>
        <w:t>ó:</w:t>
      </w:r>
    </w:p>
    <w:p w14:paraId="314A9E27" w14:textId="77777777" w:rsidR="009F3353" w:rsidRPr="009F3353" w:rsidRDefault="009F3353" w:rsidP="003F03FA">
      <w:pPr>
        <w:shd w:val="clear" w:color="auto" w:fill="FFFFFF"/>
        <w:spacing w:before="120" w:line="360" w:lineRule="exact"/>
        <w:ind w:firstLine="709"/>
        <w:jc w:val="both"/>
        <w:rPr>
          <w:i/>
          <w:iCs/>
          <w:lang w:val="vi-VN"/>
        </w:rPr>
      </w:pPr>
      <w:r w:rsidRPr="009F3353">
        <w:rPr>
          <w:i/>
          <w:iCs/>
          <w:lang w:val="vi-VN"/>
        </w:rPr>
        <w:t>a) Tỷ lệ phần trăm (%) tính đơn giá thuê đất một năm là từ 0,25% đến 3%.</w:t>
      </w:r>
    </w:p>
    <w:p w14:paraId="16A2062D" w14:textId="77777777" w:rsidR="009F3353" w:rsidRPr="009F3353" w:rsidRDefault="009F3353" w:rsidP="003F03FA">
      <w:pPr>
        <w:spacing w:before="120" w:line="360" w:lineRule="exact"/>
        <w:ind w:right="170" w:firstLine="709"/>
        <w:jc w:val="both"/>
        <w:rPr>
          <w:rFonts w:eastAsia="Calibri"/>
          <w:i/>
          <w:spacing w:val="-6"/>
        </w:rPr>
      </w:pPr>
      <w:r w:rsidRPr="009F3353">
        <w:rPr>
          <w:rFonts w:ascii="Times New Roman Italic" w:eastAsia="Calibri" w:hAnsi="Times New Roman Italic"/>
          <w:i/>
          <w:iCs/>
          <w:spacing w:val="-6"/>
          <w:lang w:val="en"/>
        </w:rPr>
        <w:t>Căn c</w:t>
      </w:r>
      <w:r w:rsidRPr="009F3353">
        <w:rPr>
          <w:rFonts w:ascii="Times New Roman Italic" w:eastAsia="Calibri" w:hAnsi="Times New Roman Italic"/>
          <w:i/>
          <w:iCs/>
          <w:spacing w:val="-6"/>
          <w:lang w:val="vi-VN"/>
        </w:rPr>
        <w:t>ứ v</w:t>
      </w:r>
      <w:r w:rsidRPr="009F3353">
        <w:rPr>
          <w:rFonts w:ascii="Times New Roman Italic" w:eastAsia="Calibri" w:hAnsi="Times New Roman Italic"/>
          <w:i/>
          <w:iCs/>
          <w:spacing w:val="-6"/>
        </w:rPr>
        <w:t>ào th</w:t>
      </w:r>
      <w:r w:rsidRPr="009F3353">
        <w:rPr>
          <w:rFonts w:ascii="Times New Roman Italic" w:eastAsia="Calibri" w:hAnsi="Times New Roman Italic"/>
          <w:i/>
          <w:iCs/>
          <w:spacing w:val="-6"/>
          <w:lang w:val="vi-VN"/>
        </w:rPr>
        <w:t>ực tế địa phương, Ủy ban nh</w:t>
      </w:r>
      <w:r w:rsidRPr="009F3353">
        <w:rPr>
          <w:rFonts w:ascii="Times New Roman Italic" w:eastAsia="Calibri" w:hAnsi="Times New Roman Italic"/>
          <w:i/>
          <w:iCs/>
          <w:spacing w:val="-6"/>
        </w:rPr>
        <w:t>ân dân c</w:t>
      </w:r>
      <w:r w:rsidRPr="009F3353">
        <w:rPr>
          <w:rFonts w:ascii="Times New Roman Italic" w:eastAsia="Calibri" w:hAnsi="Times New Roman Italic"/>
          <w:i/>
          <w:iCs/>
          <w:spacing w:val="-6"/>
          <w:lang w:val="vi-VN"/>
        </w:rPr>
        <w:t>ấp tỉnh quy định mức tỷ lệ phần trăm (%) t</w:t>
      </w:r>
      <w:r w:rsidRPr="009F3353">
        <w:rPr>
          <w:rFonts w:ascii="Times New Roman Italic" w:eastAsia="Calibri" w:hAnsi="Times New Roman Italic"/>
          <w:i/>
          <w:iCs/>
          <w:spacing w:val="-6"/>
        </w:rPr>
        <w:t>ính đơn giá thuê đ</w:t>
      </w:r>
      <w:r w:rsidRPr="009F3353">
        <w:rPr>
          <w:rFonts w:ascii="Times New Roman Italic" w:eastAsia="Calibri" w:hAnsi="Times New Roman Italic"/>
          <w:i/>
          <w:iCs/>
          <w:spacing w:val="-6"/>
          <w:lang w:val="vi-VN"/>
        </w:rPr>
        <w:t>ất theo từng khu vực, tuyến đường tương ứng với từng mục đ</w:t>
      </w:r>
      <w:r w:rsidRPr="009F3353">
        <w:rPr>
          <w:rFonts w:ascii="Times New Roman Italic" w:eastAsia="Calibri" w:hAnsi="Times New Roman Italic"/>
          <w:i/>
          <w:iCs/>
          <w:spacing w:val="-6"/>
        </w:rPr>
        <w:t>ích s</w:t>
      </w:r>
      <w:r w:rsidRPr="009F3353">
        <w:rPr>
          <w:rFonts w:ascii="Times New Roman Italic" w:eastAsia="Calibri" w:hAnsi="Times New Roman Italic"/>
          <w:i/>
          <w:iCs/>
          <w:spacing w:val="-6"/>
          <w:lang w:val="vi-VN"/>
        </w:rPr>
        <w:t>ử dụng đất sau khi xin </w:t>
      </w:r>
      <w:r w:rsidRPr="009F3353">
        <w:rPr>
          <w:rFonts w:ascii="Times New Roman Italic" w:eastAsia="Calibri" w:hAnsi="Times New Roman Italic"/>
          <w:i/>
          <w:iCs/>
          <w:spacing w:val="-6"/>
        </w:rPr>
        <w:t>ý ki</w:t>
      </w:r>
      <w:r w:rsidRPr="009F3353">
        <w:rPr>
          <w:rFonts w:ascii="Times New Roman Italic" w:eastAsia="Calibri" w:hAnsi="Times New Roman Italic"/>
          <w:i/>
          <w:iCs/>
          <w:spacing w:val="-6"/>
          <w:lang w:val="vi-VN"/>
        </w:rPr>
        <w:t>ến của Hội đồng nh</w:t>
      </w:r>
      <w:r w:rsidRPr="009F3353">
        <w:rPr>
          <w:rFonts w:ascii="Times New Roman Italic" w:eastAsia="Calibri" w:hAnsi="Times New Roman Italic"/>
          <w:i/>
          <w:iCs/>
          <w:spacing w:val="-6"/>
        </w:rPr>
        <w:t>ân dân cùng c</w:t>
      </w:r>
      <w:r w:rsidRPr="009F3353">
        <w:rPr>
          <w:rFonts w:ascii="Times New Roman Italic" w:eastAsia="Calibri" w:hAnsi="Times New Roman Italic"/>
          <w:i/>
          <w:iCs/>
          <w:spacing w:val="-6"/>
          <w:lang w:val="vi-VN"/>
        </w:rPr>
        <w:t>ấp</w:t>
      </w:r>
      <w:r w:rsidRPr="009F3353">
        <w:rPr>
          <w:rFonts w:eastAsia="Calibri"/>
          <w:i/>
          <w:iCs/>
          <w:spacing w:val="-6"/>
          <w:lang w:val="vi-VN"/>
        </w:rPr>
        <w:t>”</w:t>
      </w:r>
      <w:r w:rsidRPr="009F3353">
        <w:rPr>
          <w:rFonts w:eastAsia="Calibri"/>
          <w:i/>
          <w:iCs/>
          <w:spacing w:val="-6"/>
        </w:rPr>
        <w:t>…</w:t>
      </w:r>
    </w:p>
    <w:p w14:paraId="60D3B52D" w14:textId="77777777" w:rsidR="009F3353" w:rsidRPr="009F3353" w:rsidRDefault="009F3353" w:rsidP="003F03FA">
      <w:pPr>
        <w:tabs>
          <w:tab w:val="left" w:pos="1123"/>
        </w:tabs>
        <w:spacing w:before="120" w:line="360" w:lineRule="exact"/>
        <w:ind w:firstLine="709"/>
        <w:contextualSpacing/>
        <w:rPr>
          <w:spacing w:val="-5"/>
        </w:rPr>
      </w:pPr>
      <w:r w:rsidRPr="009F3353">
        <w:t>2. Tại khoản</w:t>
      </w:r>
      <w:r w:rsidRPr="009F3353">
        <w:rPr>
          <w:spacing w:val="1"/>
        </w:rPr>
        <w:t xml:space="preserve"> </w:t>
      </w:r>
      <w:r w:rsidRPr="009F3353">
        <w:t>2</w:t>
      </w:r>
      <w:r w:rsidRPr="009F3353">
        <w:rPr>
          <w:spacing w:val="7"/>
        </w:rPr>
        <w:t xml:space="preserve"> </w:t>
      </w:r>
      <w:r w:rsidRPr="009F3353">
        <w:t>Điều</w:t>
      </w:r>
      <w:r w:rsidRPr="009F3353">
        <w:rPr>
          <w:spacing w:val="4"/>
        </w:rPr>
        <w:t xml:space="preserve"> </w:t>
      </w:r>
      <w:r w:rsidRPr="009F3353">
        <w:rPr>
          <w:spacing w:val="-5"/>
        </w:rPr>
        <w:t>27 Nghị định số 103/2024/NĐ-CP quy định:</w:t>
      </w:r>
    </w:p>
    <w:p w14:paraId="34DA6E78" w14:textId="77777777" w:rsidR="009F3353" w:rsidRPr="009F3353" w:rsidRDefault="009F3353" w:rsidP="003F03FA">
      <w:pPr>
        <w:shd w:val="clear" w:color="auto" w:fill="FFFFFF"/>
        <w:spacing w:before="120" w:line="360" w:lineRule="exact"/>
        <w:ind w:firstLine="709"/>
        <w:jc w:val="both"/>
        <w:rPr>
          <w:i/>
          <w:iCs/>
        </w:rPr>
      </w:pPr>
      <w:r w:rsidRPr="009F3353">
        <w:rPr>
          <w:lang w:val="en"/>
        </w:rPr>
        <w:lastRenderedPageBreak/>
        <w:t>“</w:t>
      </w:r>
      <w:r w:rsidRPr="009F3353">
        <w:rPr>
          <w:i/>
          <w:iCs/>
          <w:lang w:val="en"/>
        </w:rPr>
        <w:t>2. Đơn giá thuê đ</w:t>
      </w:r>
      <w:r w:rsidRPr="009F3353">
        <w:rPr>
          <w:i/>
          <w:iCs/>
          <w:lang w:val="vi-VN"/>
        </w:rPr>
        <w:t>ất đối với đất được Nh</w:t>
      </w:r>
      <w:r w:rsidRPr="009F3353">
        <w:rPr>
          <w:i/>
          <w:iCs/>
        </w:rPr>
        <w:t>à nư</w:t>
      </w:r>
      <w:r w:rsidRPr="009F3353">
        <w:rPr>
          <w:i/>
          <w:iCs/>
          <w:lang w:val="vi-VN"/>
        </w:rPr>
        <w:t>ớc cho thu</w:t>
      </w:r>
      <w:r w:rsidRPr="009F3353">
        <w:rPr>
          <w:i/>
          <w:iCs/>
        </w:rPr>
        <w:t>ê đ</w:t>
      </w:r>
      <w:r w:rsidRPr="009F3353">
        <w:rPr>
          <w:i/>
          <w:iCs/>
          <w:lang w:val="vi-VN"/>
        </w:rPr>
        <w:t>ể x</w:t>
      </w:r>
      <w:r w:rsidRPr="009F3353">
        <w:rPr>
          <w:i/>
          <w:iCs/>
        </w:rPr>
        <w:t>ây d</w:t>
      </w:r>
      <w:r w:rsidRPr="009F3353">
        <w:rPr>
          <w:i/>
          <w:iCs/>
          <w:lang w:val="vi-VN"/>
        </w:rPr>
        <w:t>ựng c</w:t>
      </w:r>
      <w:r w:rsidRPr="009F3353">
        <w:rPr>
          <w:i/>
          <w:iCs/>
        </w:rPr>
        <w:t>ông trình ng</w:t>
      </w:r>
      <w:r w:rsidRPr="009F3353">
        <w:rPr>
          <w:i/>
          <w:iCs/>
          <w:lang w:val="vi-VN"/>
        </w:rPr>
        <w:t>ầm (kh</w:t>
      </w:r>
      <w:r w:rsidRPr="009F3353">
        <w:rPr>
          <w:i/>
          <w:iCs/>
        </w:rPr>
        <w:t>ông ph</w:t>
      </w:r>
      <w:r w:rsidRPr="009F3353">
        <w:rPr>
          <w:i/>
          <w:iCs/>
          <w:lang w:val="vi-VN"/>
        </w:rPr>
        <w:t>ải l</w:t>
      </w:r>
      <w:r w:rsidRPr="009F3353">
        <w:rPr>
          <w:i/>
          <w:iCs/>
        </w:rPr>
        <w:t>à phần</w:t>
      </w:r>
      <w:r w:rsidRPr="009F3353">
        <w:rPr>
          <w:i/>
          <w:iCs/>
          <w:lang w:val="vi-VN"/>
        </w:rPr>
        <w:t> ngầm của c</w:t>
      </w:r>
      <w:r w:rsidRPr="009F3353">
        <w:rPr>
          <w:i/>
          <w:iCs/>
        </w:rPr>
        <w:t>ông trình xây d</w:t>
      </w:r>
      <w:r w:rsidRPr="009F3353">
        <w:rPr>
          <w:i/>
          <w:iCs/>
          <w:lang w:val="vi-VN"/>
        </w:rPr>
        <w:t>ựng tr</w:t>
      </w:r>
      <w:r w:rsidRPr="009F3353">
        <w:rPr>
          <w:i/>
          <w:iCs/>
        </w:rPr>
        <w:t>ên m</w:t>
      </w:r>
      <w:r w:rsidRPr="009F3353">
        <w:rPr>
          <w:i/>
          <w:iCs/>
          <w:lang w:val="vi-VN"/>
        </w:rPr>
        <w:t>ặt đất) theo quy định tại khoản 1 Điều 120 Luật Đất đai, được t</w:t>
      </w:r>
      <w:r w:rsidRPr="009F3353">
        <w:rPr>
          <w:i/>
          <w:iCs/>
        </w:rPr>
        <w:t>ính như sau:</w:t>
      </w:r>
    </w:p>
    <w:p w14:paraId="3ACCB362" w14:textId="77777777" w:rsidR="009F3353" w:rsidRPr="009F3353" w:rsidRDefault="009F3353" w:rsidP="003F03FA">
      <w:pPr>
        <w:shd w:val="clear" w:color="auto" w:fill="FFFFFF"/>
        <w:spacing w:before="120" w:line="360" w:lineRule="exact"/>
        <w:ind w:firstLine="709"/>
        <w:jc w:val="both"/>
        <w:rPr>
          <w:i/>
          <w:iCs/>
        </w:rPr>
      </w:pPr>
      <w:r w:rsidRPr="009F3353">
        <w:rPr>
          <w:i/>
          <w:iCs/>
          <w:lang w:val="en"/>
        </w:rPr>
        <w:t>a) Trư</w:t>
      </w:r>
      <w:r w:rsidRPr="009F3353">
        <w:rPr>
          <w:i/>
          <w:iCs/>
          <w:lang w:val="vi-VN"/>
        </w:rPr>
        <w:t>ờng hợp thu</w:t>
      </w:r>
      <w:r w:rsidRPr="009F3353">
        <w:rPr>
          <w:i/>
          <w:iCs/>
        </w:rPr>
        <w:t>ê đ</w:t>
      </w:r>
      <w:r w:rsidRPr="009F3353">
        <w:rPr>
          <w:i/>
          <w:iCs/>
          <w:lang w:val="vi-VN"/>
        </w:rPr>
        <w:t>ất trả tiền thu</w:t>
      </w:r>
      <w:r w:rsidRPr="009F3353">
        <w:rPr>
          <w:i/>
          <w:iCs/>
        </w:rPr>
        <w:t>ê đ</w:t>
      </w:r>
      <w:r w:rsidRPr="009F3353">
        <w:rPr>
          <w:i/>
          <w:iCs/>
          <w:lang w:val="vi-VN"/>
        </w:rPr>
        <w:t>ất hằng năm, đơn gi</w:t>
      </w:r>
      <w:r w:rsidRPr="009F3353">
        <w:rPr>
          <w:i/>
          <w:iCs/>
        </w:rPr>
        <w:t>á thuê đ</w:t>
      </w:r>
      <w:r w:rsidRPr="009F3353">
        <w:rPr>
          <w:i/>
          <w:iCs/>
          <w:lang w:val="vi-VN"/>
        </w:rPr>
        <w:t>ất được t</w:t>
      </w:r>
      <w:r w:rsidRPr="009F3353">
        <w:rPr>
          <w:i/>
          <w:iCs/>
        </w:rPr>
        <w:t>ính theo m</w:t>
      </w:r>
      <w:r w:rsidRPr="009F3353">
        <w:rPr>
          <w:i/>
          <w:iCs/>
          <w:lang w:val="vi-VN"/>
        </w:rPr>
        <w:t>ức kh</w:t>
      </w:r>
      <w:r w:rsidRPr="009F3353">
        <w:rPr>
          <w:i/>
          <w:iCs/>
        </w:rPr>
        <w:t>ông quá 30% c</w:t>
      </w:r>
      <w:r w:rsidRPr="009F3353">
        <w:rPr>
          <w:i/>
          <w:iCs/>
          <w:lang w:val="vi-VN"/>
        </w:rPr>
        <w:t>ủa đơn gi</w:t>
      </w:r>
      <w:r w:rsidRPr="009F3353">
        <w:rPr>
          <w:i/>
          <w:iCs/>
        </w:rPr>
        <w:t>á thuê đ</w:t>
      </w:r>
      <w:r w:rsidRPr="009F3353">
        <w:rPr>
          <w:i/>
          <w:iCs/>
          <w:lang w:val="vi-VN"/>
        </w:rPr>
        <w:t>ất tr</w:t>
      </w:r>
      <w:r w:rsidRPr="009F3353">
        <w:rPr>
          <w:i/>
          <w:iCs/>
        </w:rPr>
        <w:t>ên b</w:t>
      </w:r>
      <w:r w:rsidRPr="009F3353">
        <w:rPr>
          <w:i/>
          <w:iCs/>
          <w:lang w:val="vi-VN"/>
        </w:rPr>
        <w:t>ề mặt với h</w:t>
      </w:r>
      <w:r w:rsidRPr="009F3353">
        <w:rPr>
          <w:i/>
          <w:iCs/>
        </w:rPr>
        <w:t>ình th</w:t>
      </w:r>
      <w:r w:rsidRPr="009F3353">
        <w:rPr>
          <w:i/>
          <w:iCs/>
          <w:lang w:val="vi-VN"/>
        </w:rPr>
        <w:t>ức thu</w:t>
      </w:r>
      <w:r w:rsidRPr="009F3353">
        <w:rPr>
          <w:i/>
          <w:iCs/>
        </w:rPr>
        <w:t>ê đ</w:t>
      </w:r>
      <w:r w:rsidRPr="009F3353">
        <w:rPr>
          <w:i/>
          <w:iCs/>
          <w:lang w:val="vi-VN"/>
        </w:rPr>
        <w:t>ất trả tiền thu</w:t>
      </w:r>
      <w:r w:rsidRPr="009F3353">
        <w:rPr>
          <w:i/>
          <w:iCs/>
        </w:rPr>
        <w:t>ê đ</w:t>
      </w:r>
      <w:r w:rsidRPr="009F3353">
        <w:rPr>
          <w:i/>
          <w:iCs/>
          <w:lang w:val="vi-VN"/>
        </w:rPr>
        <w:t>ất hằng năm c</w:t>
      </w:r>
      <w:r w:rsidRPr="009F3353">
        <w:rPr>
          <w:i/>
          <w:iCs/>
        </w:rPr>
        <w:t>ó cùng mục</w:t>
      </w:r>
      <w:r w:rsidRPr="009F3353">
        <w:rPr>
          <w:i/>
          <w:iCs/>
          <w:lang w:val="vi-VN"/>
        </w:rPr>
        <w:t> đ</w:t>
      </w:r>
      <w:r w:rsidRPr="009F3353">
        <w:rPr>
          <w:i/>
          <w:iCs/>
        </w:rPr>
        <w:t>ích s</w:t>
      </w:r>
      <w:r w:rsidRPr="009F3353">
        <w:rPr>
          <w:i/>
          <w:iCs/>
          <w:lang w:val="vi-VN"/>
        </w:rPr>
        <w:t>ử dụng đất.</w:t>
      </w:r>
    </w:p>
    <w:p w14:paraId="5A0A7C82" w14:textId="77777777" w:rsidR="009F3353" w:rsidRPr="009F3353" w:rsidRDefault="009F3353" w:rsidP="003F03FA">
      <w:pPr>
        <w:shd w:val="clear" w:color="auto" w:fill="FFFFFF"/>
        <w:spacing w:before="120" w:line="360" w:lineRule="exact"/>
        <w:ind w:firstLine="709"/>
        <w:jc w:val="both"/>
        <w:rPr>
          <w:i/>
          <w:iCs/>
        </w:rPr>
      </w:pPr>
      <w:r w:rsidRPr="009F3353">
        <w:rPr>
          <w:i/>
          <w:iCs/>
          <w:lang w:val="en"/>
        </w:rPr>
        <w:t>b) Trư</w:t>
      </w:r>
      <w:r w:rsidRPr="009F3353">
        <w:rPr>
          <w:i/>
          <w:iCs/>
          <w:lang w:val="vi-VN"/>
        </w:rPr>
        <w:t>ờng hợp thu</w:t>
      </w:r>
      <w:r w:rsidRPr="009F3353">
        <w:rPr>
          <w:i/>
          <w:iCs/>
        </w:rPr>
        <w:t>ê đ</w:t>
      </w:r>
      <w:r w:rsidRPr="009F3353">
        <w:rPr>
          <w:i/>
          <w:iCs/>
          <w:lang w:val="vi-VN"/>
        </w:rPr>
        <w:t>ất trả tiền thu</w:t>
      </w:r>
      <w:r w:rsidRPr="009F3353">
        <w:rPr>
          <w:i/>
          <w:iCs/>
        </w:rPr>
        <w:t>ê đ</w:t>
      </w:r>
      <w:r w:rsidRPr="009F3353">
        <w:rPr>
          <w:i/>
          <w:iCs/>
          <w:lang w:val="vi-VN"/>
        </w:rPr>
        <w:t>ất một lần cho cả thời gian thu</w:t>
      </w:r>
      <w:r w:rsidRPr="009F3353">
        <w:rPr>
          <w:i/>
          <w:iCs/>
        </w:rPr>
        <w:t>ê, đơn giá thuê đ</w:t>
      </w:r>
      <w:r w:rsidRPr="009F3353">
        <w:rPr>
          <w:i/>
          <w:iCs/>
          <w:lang w:val="vi-VN"/>
        </w:rPr>
        <w:t>ất được t</w:t>
      </w:r>
      <w:r w:rsidRPr="009F3353">
        <w:rPr>
          <w:i/>
          <w:iCs/>
        </w:rPr>
        <w:t>ính theo m</w:t>
      </w:r>
      <w:r w:rsidRPr="009F3353">
        <w:rPr>
          <w:i/>
          <w:iCs/>
          <w:lang w:val="vi-VN"/>
        </w:rPr>
        <w:t>ức kh</w:t>
      </w:r>
      <w:r w:rsidRPr="009F3353">
        <w:rPr>
          <w:i/>
          <w:iCs/>
        </w:rPr>
        <w:t>ông quá 30% c</w:t>
      </w:r>
      <w:r w:rsidRPr="009F3353">
        <w:rPr>
          <w:i/>
          <w:iCs/>
          <w:lang w:val="vi-VN"/>
        </w:rPr>
        <w:t>ủa đơn gi</w:t>
      </w:r>
      <w:r w:rsidRPr="009F3353">
        <w:rPr>
          <w:i/>
          <w:iCs/>
        </w:rPr>
        <w:t>á thuê đ</w:t>
      </w:r>
      <w:r w:rsidRPr="009F3353">
        <w:rPr>
          <w:i/>
          <w:iCs/>
          <w:lang w:val="vi-VN"/>
        </w:rPr>
        <w:t>ất tr</w:t>
      </w:r>
      <w:r w:rsidRPr="009F3353">
        <w:rPr>
          <w:i/>
          <w:iCs/>
        </w:rPr>
        <w:t>ên b</w:t>
      </w:r>
      <w:r w:rsidRPr="009F3353">
        <w:rPr>
          <w:i/>
          <w:iCs/>
          <w:lang w:val="vi-VN"/>
        </w:rPr>
        <w:t>ề mặt với h</w:t>
      </w:r>
      <w:r w:rsidRPr="009F3353">
        <w:rPr>
          <w:i/>
          <w:iCs/>
        </w:rPr>
        <w:t>ình th</w:t>
      </w:r>
      <w:r w:rsidRPr="009F3353">
        <w:rPr>
          <w:i/>
          <w:iCs/>
          <w:lang w:val="vi-VN"/>
        </w:rPr>
        <w:t>ức thu</w:t>
      </w:r>
      <w:r w:rsidRPr="009F3353">
        <w:rPr>
          <w:i/>
          <w:iCs/>
        </w:rPr>
        <w:t>ê đ</w:t>
      </w:r>
      <w:r w:rsidRPr="009F3353">
        <w:rPr>
          <w:i/>
          <w:iCs/>
          <w:lang w:val="vi-VN"/>
        </w:rPr>
        <w:t>ất trả tiền thu</w:t>
      </w:r>
      <w:r w:rsidRPr="009F3353">
        <w:rPr>
          <w:i/>
          <w:iCs/>
        </w:rPr>
        <w:t>ê đ</w:t>
      </w:r>
      <w:r w:rsidRPr="009F3353">
        <w:rPr>
          <w:i/>
          <w:iCs/>
          <w:lang w:val="vi-VN"/>
        </w:rPr>
        <w:t>ất một lần cho cả thời gian thu</w:t>
      </w:r>
      <w:r w:rsidRPr="009F3353">
        <w:rPr>
          <w:i/>
          <w:iCs/>
        </w:rPr>
        <w:t>ê có cùng mục</w:t>
      </w:r>
      <w:r w:rsidRPr="009F3353">
        <w:rPr>
          <w:i/>
          <w:iCs/>
          <w:lang w:val="vi-VN"/>
        </w:rPr>
        <w:t> đ</w:t>
      </w:r>
      <w:r w:rsidRPr="009F3353">
        <w:rPr>
          <w:i/>
          <w:iCs/>
        </w:rPr>
        <w:t>ích s</w:t>
      </w:r>
      <w:r w:rsidRPr="009F3353">
        <w:rPr>
          <w:i/>
          <w:iCs/>
          <w:lang w:val="vi-VN"/>
        </w:rPr>
        <w:t>ử dụng v</w:t>
      </w:r>
      <w:r w:rsidRPr="009F3353">
        <w:rPr>
          <w:i/>
          <w:iCs/>
        </w:rPr>
        <w:t>à th</w:t>
      </w:r>
      <w:r w:rsidRPr="009F3353">
        <w:rPr>
          <w:i/>
          <w:iCs/>
          <w:lang w:val="vi-VN"/>
        </w:rPr>
        <w:t>ời hạn sử dụng đất.</w:t>
      </w:r>
    </w:p>
    <w:p w14:paraId="5F57731F" w14:textId="77777777" w:rsidR="009F3353" w:rsidRPr="009F3353" w:rsidRDefault="009F3353" w:rsidP="003F03FA">
      <w:pPr>
        <w:shd w:val="clear" w:color="auto" w:fill="FFFFFF"/>
        <w:spacing w:before="120" w:line="360" w:lineRule="exact"/>
        <w:ind w:firstLine="709"/>
        <w:jc w:val="both"/>
        <w:rPr>
          <w:i/>
          <w:iCs/>
        </w:rPr>
      </w:pPr>
      <w:r w:rsidRPr="009F3353">
        <w:rPr>
          <w:i/>
          <w:iCs/>
          <w:lang w:val="en"/>
        </w:rPr>
        <w:t>c) Căn c</w:t>
      </w:r>
      <w:r w:rsidRPr="009F3353">
        <w:rPr>
          <w:i/>
          <w:iCs/>
          <w:lang w:val="vi-VN"/>
        </w:rPr>
        <w:t>ứ v</w:t>
      </w:r>
      <w:r w:rsidRPr="009F3353">
        <w:rPr>
          <w:i/>
          <w:iCs/>
        </w:rPr>
        <w:t>ào th</w:t>
      </w:r>
      <w:r w:rsidRPr="009F3353">
        <w:rPr>
          <w:i/>
          <w:iCs/>
          <w:lang w:val="vi-VN"/>
        </w:rPr>
        <w:t>ực tế địa phương, Ủy ban nh</w:t>
      </w:r>
      <w:r w:rsidRPr="009F3353">
        <w:rPr>
          <w:i/>
          <w:iCs/>
        </w:rPr>
        <w:t>ân dân c</w:t>
      </w:r>
      <w:r w:rsidRPr="009F3353">
        <w:rPr>
          <w:i/>
          <w:iCs/>
          <w:lang w:val="vi-VN"/>
        </w:rPr>
        <w:t>ấp tỉnh quy định cụ thể mức đơn gi</w:t>
      </w:r>
      <w:r w:rsidRPr="009F3353">
        <w:rPr>
          <w:i/>
          <w:iCs/>
        </w:rPr>
        <w:t>á thuê đ</w:t>
      </w:r>
      <w:r w:rsidRPr="009F3353">
        <w:rPr>
          <w:i/>
          <w:iCs/>
          <w:lang w:val="vi-VN"/>
        </w:rPr>
        <w:t>ất quy định tại điểm a, điểm b khoản này</w:t>
      </w:r>
      <w:r w:rsidRPr="009F3353">
        <w:rPr>
          <w:i/>
          <w:iCs/>
        </w:rPr>
        <w:t> sau khi xin ý ki</w:t>
      </w:r>
      <w:r w:rsidRPr="009F3353">
        <w:rPr>
          <w:i/>
          <w:iCs/>
          <w:lang w:val="vi-VN"/>
        </w:rPr>
        <w:t>ến của Hội đồng nh</w:t>
      </w:r>
      <w:r w:rsidRPr="009F3353">
        <w:rPr>
          <w:i/>
          <w:iCs/>
        </w:rPr>
        <w:t>ân dân cùng c</w:t>
      </w:r>
      <w:r w:rsidRPr="009F3353">
        <w:rPr>
          <w:i/>
          <w:iCs/>
          <w:lang w:val="vi-VN"/>
        </w:rPr>
        <w:t>ấp.</w:t>
      </w:r>
      <w:r w:rsidRPr="009F3353">
        <w:rPr>
          <w:i/>
          <w:iCs/>
        </w:rPr>
        <w:t>”</w:t>
      </w:r>
    </w:p>
    <w:p w14:paraId="38E85BAE" w14:textId="77777777" w:rsidR="009F3353" w:rsidRPr="009F3353" w:rsidRDefault="009F3353" w:rsidP="003F03FA">
      <w:pPr>
        <w:tabs>
          <w:tab w:val="left" w:pos="1121"/>
        </w:tabs>
        <w:spacing w:before="120" w:line="360" w:lineRule="exact"/>
        <w:ind w:firstLine="709"/>
        <w:contextualSpacing/>
      </w:pPr>
      <w:r w:rsidRPr="009F3353">
        <w:t>3. Tại khoản</w:t>
      </w:r>
      <w:r w:rsidRPr="009F3353">
        <w:rPr>
          <w:spacing w:val="3"/>
        </w:rPr>
        <w:t xml:space="preserve"> 2, khoản </w:t>
      </w:r>
      <w:r w:rsidRPr="009F3353">
        <w:t>3</w:t>
      </w:r>
      <w:r w:rsidRPr="009F3353">
        <w:rPr>
          <w:spacing w:val="1"/>
        </w:rPr>
        <w:t xml:space="preserve"> </w:t>
      </w:r>
      <w:r w:rsidRPr="009F3353">
        <w:t>Điều</w:t>
      </w:r>
      <w:r w:rsidRPr="009F3353">
        <w:rPr>
          <w:spacing w:val="4"/>
        </w:rPr>
        <w:t xml:space="preserve"> </w:t>
      </w:r>
      <w:r w:rsidRPr="009F3353">
        <w:rPr>
          <w:spacing w:val="-5"/>
        </w:rPr>
        <w:t>28 Nghị định số 103/2024/NĐ-CP quy định:</w:t>
      </w:r>
    </w:p>
    <w:p w14:paraId="4511FFDF" w14:textId="77777777" w:rsidR="009F3353" w:rsidRPr="009F3353" w:rsidRDefault="009F3353" w:rsidP="003F03FA">
      <w:pPr>
        <w:shd w:val="clear" w:color="auto" w:fill="FFFFFF"/>
        <w:spacing w:before="120" w:line="360" w:lineRule="exact"/>
        <w:ind w:firstLine="709"/>
        <w:jc w:val="both"/>
        <w:rPr>
          <w:i/>
          <w:iCs/>
          <w:lang w:val="vi-VN"/>
        </w:rPr>
      </w:pPr>
      <w:r w:rsidRPr="009F3353">
        <w:rPr>
          <w:lang w:val="vi-VN"/>
        </w:rPr>
        <w:t>“</w:t>
      </w:r>
      <w:r w:rsidRPr="009F3353">
        <w:rPr>
          <w:i/>
          <w:iCs/>
          <w:lang w:val="vi-VN"/>
        </w:rPr>
        <w:t>2. Đối với phần diện tích đất có mặt nước, đơn giá thuê đất trả tiền thuê đất hằng năm, đơn giá thuê đất trả tiền thuê đất một lần cho cả thời gian thuê được tính theo mức không thấp hơn 20% của đơn giá thuê đất hằng năm hoặc đơn giá thuê đất trả tiền một lần cho cả thời gian thuê của loại đất có vị trí liền kề với giả định có cùng mục đích sử dụng đất và thời hạn sử dụng đất với phần diện tích đất có mặt nước.</w:t>
      </w:r>
    </w:p>
    <w:p w14:paraId="5E91E9CC" w14:textId="77777777" w:rsidR="009F3353" w:rsidRPr="009F3353" w:rsidRDefault="009F3353" w:rsidP="003F03FA">
      <w:pPr>
        <w:shd w:val="clear" w:color="auto" w:fill="FFFFFF"/>
        <w:spacing w:before="120" w:line="360" w:lineRule="exact"/>
        <w:ind w:firstLine="709"/>
        <w:jc w:val="both"/>
      </w:pPr>
      <w:r w:rsidRPr="009F3353">
        <w:rPr>
          <w:i/>
          <w:iCs/>
          <w:lang w:val="vi-VN"/>
        </w:rPr>
        <w:t>3. Căn cứ vào thực tế địa phương, Ủy ban nhân dân cấp tỉnh quy định cụ thể mức đơn giá thuê đất quy định tại khoản 2 Điều này sau khi xin ý kiến của Hội đồng nhân dân cùng cấp</w:t>
      </w:r>
      <w:r w:rsidRPr="009F3353">
        <w:rPr>
          <w:lang w:val="vi-VN"/>
        </w:rPr>
        <w:t>.”</w:t>
      </w:r>
    </w:p>
    <w:p w14:paraId="1EC32482" w14:textId="77777777" w:rsidR="009F3353" w:rsidRPr="009F3353" w:rsidRDefault="009F3353" w:rsidP="003F03FA">
      <w:pPr>
        <w:spacing w:before="120" w:line="360" w:lineRule="exact"/>
        <w:ind w:firstLine="709"/>
        <w:jc w:val="both"/>
        <w:rPr>
          <w:shd w:val="clear" w:color="auto" w:fill="FFFFFF"/>
          <w:lang w:val="pt-BR"/>
        </w:rPr>
      </w:pPr>
      <w:r w:rsidRPr="009F3353">
        <w:rPr>
          <w:lang w:val="pt-BR"/>
        </w:rPr>
        <w:t xml:space="preserve">4. Tại khoản 1 Điều 44 </w:t>
      </w:r>
      <w:r w:rsidRPr="009F3353">
        <w:rPr>
          <w:spacing w:val="-5"/>
        </w:rPr>
        <w:t>Nghị định số 103/2024/NĐ-CP quy định</w:t>
      </w:r>
      <w:r w:rsidRPr="009F3353">
        <w:rPr>
          <w:lang w:val="pt-BR"/>
        </w:rPr>
        <w:t xml:space="preserve"> về trách nhiệm của cơ quan và người sử dụng đất: “</w:t>
      </w:r>
      <w:r w:rsidRPr="009F3353">
        <w:rPr>
          <w:i/>
          <w:lang w:val="pt-BR"/>
        </w:rPr>
        <w:t xml:space="preserve">Cơ quan tài chính </w:t>
      </w:r>
      <w:r w:rsidRPr="009F3353">
        <w:rPr>
          <w:i/>
          <w:shd w:val="clear" w:color="auto" w:fill="FFFFFF"/>
          <w:lang w:val="pt-BR"/>
        </w:rPr>
        <w:t>chủ trì xây dựng và trình Ủy ban nhân dân cấp tỉnh quy định mức tỷ lệ (%) cụ thể để xác định đơn giá thuê đất; mức tỷ lệ (%) để tính tiền thuê đối với đất xây dựng công trình ngầm, công trình ngầm nằm ngoài phần không gian sử dụng đất đã xác định cho người sử dụng đất, đất có mặt nước theo quy định tại Điều 26, 27 và 28 Nghị định này</w:t>
      </w:r>
      <w:r w:rsidRPr="009F3353">
        <w:rPr>
          <w:rFonts w:ascii="Arial" w:hAnsi="Arial" w:cs="Arial"/>
          <w:sz w:val="20"/>
          <w:szCs w:val="20"/>
          <w:shd w:val="clear" w:color="auto" w:fill="FFFFFF"/>
          <w:lang w:val="pt-BR"/>
        </w:rPr>
        <w:t>.</w:t>
      </w:r>
      <w:r w:rsidRPr="009F3353">
        <w:rPr>
          <w:shd w:val="clear" w:color="auto" w:fill="FFFFFF"/>
          <w:lang w:val="pt-BR"/>
        </w:rPr>
        <w:t>”</w:t>
      </w:r>
    </w:p>
    <w:p w14:paraId="3F5C4A32" w14:textId="77777777" w:rsidR="009F3353" w:rsidRPr="009F3353" w:rsidRDefault="009F3353" w:rsidP="003F03FA">
      <w:pPr>
        <w:spacing w:before="120" w:line="360" w:lineRule="exact"/>
        <w:ind w:firstLine="709"/>
        <w:jc w:val="both"/>
        <w:rPr>
          <w:spacing w:val="-5"/>
        </w:rPr>
      </w:pPr>
      <w:r w:rsidRPr="009F3353">
        <w:rPr>
          <w:shd w:val="clear" w:color="auto" w:fill="FFFFFF"/>
          <w:lang w:val="pt-BR"/>
        </w:rPr>
        <w:t xml:space="preserve">5. Tại khoản 1, Điều 48 </w:t>
      </w:r>
      <w:r w:rsidRPr="009F3353">
        <w:rPr>
          <w:spacing w:val="-5"/>
        </w:rPr>
        <w:t>Nghị định số 103/2024/NĐ-CP quy định:</w:t>
      </w:r>
    </w:p>
    <w:p w14:paraId="52973821" w14:textId="77777777" w:rsidR="009F3353" w:rsidRPr="009F3353" w:rsidRDefault="009F3353" w:rsidP="003F03FA">
      <w:pPr>
        <w:spacing w:before="120" w:line="360" w:lineRule="exact"/>
        <w:ind w:firstLine="709"/>
        <w:jc w:val="both"/>
        <w:rPr>
          <w:b/>
          <w:bCs/>
          <w:i/>
          <w:shd w:val="clear" w:color="auto" w:fill="FFFFFF"/>
          <w:lang w:val="pt-BR"/>
        </w:rPr>
      </w:pPr>
      <w:bookmarkStart w:id="0" w:name="dieu_48"/>
      <w:r w:rsidRPr="009F3353">
        <w:rPr>
          <w:b/>
          <w:bCs/>
          <w:i/>
          <w:shd w:val="clear" w:color="auto" w:fill="FFFFFF"/>
          <w:lang w:val="pt-BR"/>
        </w:rPr>
        <w:t>“Điều 48. Trách nhiệm của Ủy ban nhân dân cấp tỉnh</w:t>
      </w:r>
      <w:bookmarkEnd w:id="0"/>
    </w:p>
    <w:p w14:paraId="0E512D46" w14:textId="77777777" w:rsidR="009F3353" w:rsidRPr="009F3353" w:rsidRDefault="009F3353" w:rsidP="003F03FA">
      <w:pPr>
        <w:spacing w:before="120" w:line="360" w:lineRule="exact"/>
        <w:ind w:firstLine="709"/>
        <w:jc w:val="both"/>
        <w:rPr>
          <w:rFonts w:ascii="Arial" w:hAnsi="Arial" w:cs="Arial"/>
          <w:sz w:val="20"/>
          <w:szCs w:val="20"/>
          <w:shd w:val="clear" w:color="auto" w:fill="FFFFFF"/>
          <w:lang w:val="pt-BR"/>
        </w:rPr>
      </w:pPr>
      <w:r w:rsidRPr="009F3353">
        <w:rPr>
          <w:rFonts w:ascii="Times New Roman Italic" w:hAnsi="Times New Roman Italic"/>
          <w:i/>
          <w:spacing w:val="-8"/>
          <w:shd w:val="clear" w:color="auto" w:fill="FFFFFF"/>
          <w:lang w:val="pt-BR"/>
        </w:rPr>
        <w:t>1. Ban hành mức tỷ lệ (%) để tính đơn giá thuê đất, mức tỷ lệ (%) thu đối với đất xây dựng công trình ngầm, mức tỷ lệ (%) thu đối với đất có mặt nước và quyết định giá đất cụ thể theo thẩm quyền làm căn cứ để tính tiền sử dụng đất, tiền thuê đất.”</w:t>
      </w:r>
    </w:p>
    <w:p w14:paraId="20D1508E" w14:textId="7CF38729" w:rsidR="009F3353" w:rsidRPr="00796152" w:rsidRDefault="009F3353" w:rsidP="003F03FA">
      <w:pPr>
        <w:spacing w:before="120" w:line="360" w:lineRule="exact"/>
        <w:ind w:right="170" w:firstLine="709"/>
        <w:jc w:val="both"/>
        <w:rPr>
          <w:rFonts w:eastAsia="Calibri"/>
          <w:spacing w:val="-4"/>
        </w:rPr>
      </w:pPr>
      <w:r w:rsidRPr="00796152">
        <w:rPr>
          <w:spacing w:val="-4"/>
          <w:lang w:val="nl-NL"/>
        </w:rPr>
        <w:t>Căn cứ quy định nêu trên</w:t>
      </w:r>
      <w:r w:rsidR="00796152" w:rsidRPr="00796152">
        <w:rPr>
          <w:spacing w:val="-4"/>
          <w:lang w:val="nl-NL"/>
        </w:rPr>
        <w:t>,</w:t>
      </w:r>
      <w:r w:rsidRPr="00796152">
        <w:rPr>
          <w:spacing w:val="-4"/>
          <w:lang w:val="nl-NL"/>
        </w:rPr>
        <w:t xml:space="preserve"> </w:t>
      </w:r>
      <w:r w:rsidR="00796152" w:rsidRPr="00796152">
        <w:rPr>
          <w:spacing w:val="-4"/>
          <w:lang w:val="nl-NL"/>
        </w:rPr>
        <w:t xml:space="preserve">Sở Tài chính xây dựng </w:t>
      </w:r>
      <w:r w:rsidR="00796152" w:rsidRPr="00796152">
        <w:rPr>
          <w:noProof/>
          <w:spacing w:val="-4"/>
        </w:rPr>
        <w:t>Dự thảo Quyết định</w:t>
      </w:r>
      <w:r w:rsidR="00796152" w:rsidRPr="00796152">
        <w:rPr>
          <w:noProof/>
          <w:spacing w:val="-4"/>
        </w:rPr>
        <w:t xml:space="preserve"> quy định</w:t>
      </w:r>
      <w:r w:rsidRPr="00796152">
        <w:rPr>
          <w:rFonts w:eastAsia="Calibri"/>
          <w:spacing w:val="-4"/>
        </w:rPr>
        <w:t xml:space="preserve"> </w:t>
      </w:r>
      <w:r w:rsidRPr="00796152">
        <w:rPr>
          <w:bCs/>
          <w:spacing w:val="-4"/>
          <w:lang w:val="pt-BR"/>
        </w:rPr>
        <w:t xml:space="preserve">mức tỷ lệ phần trăm (%) </w:t>
      </w:r>
      <w:r w:rsidRPr="00796152">
        <w:rPr>
          <w:bCs/>
          <w:spacing w:val="-4"/>
        </w:rPr>
        <w:t xml:space="preserve">để tính đơn giá thuê đất, mức tỷ lệ (%) thu đối với </w:t>
      </w:r>
      <w:r w:rsidRPr="00796152">
        <w:rPr>
          <w:bCs/>
          <w:spacing w:val="-4"/>
        </w:rPr>
        <w:lastRenderedPageBreak/>
        <w:t xml:space="preserve">đất xây dựng công trình ngầm, mức tỷ lệ (%) thu đối với đất có mặt nước </w:t>
      </w:r>
      <w:r w:rsidRPr="00796152">
        <w:rPr>
          <w:spacing w:val="-4"/>
          <w:lang w:val="pt-BR"/>
        </w:rPr>
        <w:t>trên địa bàn tỉnh Thái Nguyên</w:t>
      </w:r>
      <w:r w:rsidRPr="00796152">
        <w:rPr>
          <w:rFonts w:eastAsia="Calibri"/>
          <w:spacing w:val="-4"/>
        </w:rPr>
        <w:t xml:space="preserve"> là cần thiết và phù hợp với</w:t>
      </w:r>
      <w:r w:rsidRPr="00796152">
        <w:rPr>
          <w:spacing w:val="-4"/>
          <w:lang w:val="pt-BR"/>
        </w:rPr>
        <w:t xml:space="preserve"> quy định của pháp luật hiện hành</w:t>
      </w:r>
      <w:r w:rsidRPr="00796152">
        <w:rPr>
          <w:rFonts w:eastAsia="Calibri"/>
          <w:spacing w:val="-4"/>
        </w:rPr>
        <w:t>.</w:t>
      </w:r>
    </w:p>
    <w:p w14:paraId="190C084B" w14:textId="2AEFA3D3" w:rsidR="009F3353" w:rsidRPr="00571D8A" w:rsidRDefault="009F3353" w:rsidP="003F03FA">
      <w:pPr>
        <w:spacing w:before="120" w:line="360" w:lineRule="exact"/>
        <w:ind w:firstLine="567"/>
        <w:jc w:val="both"/>
        <w:rPr>
          <w:b/>
        </w:rPr>
      </w:pPr>
      <w:r w:rsidRPr="009F3353">
        <w:rPr>
          <w:b/>
          <w:lang w:val="vi-VN"/>
        </w:rPr>
        <w:t>II. MỤC ĐÍCH, QUAN ĐIỂM XÂY DỰNG QUYẾT</w:t>
      </w:r>
      <w:r w:rsidR="00571D8A">
        <w:rPr>
          <w:b/>
        </w:rPr>
        <w:t xml:space="preserve"> ĐỊNH</w:t>
      </w:r>
    </w:p>
    <w:p w14:paraId="7DA6DB44" w14:textId="77777777" w:rsidR="009F3353" w:rsidRPr="009F3353" w:rsidRDefault="009F3353" w:rsidP="003F03FA">
      <w:pPr>
        <w:spacing w:before="120" w:line="360" w:lineRule="exact"/>
        <w:ind w:firstLine="567"/>
        <w:jc w:val="both"/>
        <w:rPr>
          <w:lang w:val="pt-BR"/>
        </w:rPr>
      </w:pPr>
      <w:r w:rsidRPr="009F3353">
        <w:rPr>
          <w:b/>
          <w:lang w:val="pt-BR"/>
        </w:rPr>
        <w:t>1. Mục đích</w:t>
      </w:r>
    </w:p>
    <w:p w14:paraId="0536BE7C" w14:textId="540B6198" w:rsidR="009F3353" w:rsidRPr="009F3353" w:rsidRDefault="00B3739F" w:rsidP="003F03FA">
      <w:pPr>
        <w:spacing w:before="120" w:line="360" w:lineRule="exact"/>
        <w:ind w:firstLine="567"/>
        <w:jc w:val="both"/>
        <w:rPr>
          <w:spacing w:val="-6"/>
          <w:lang w:val="pt-BR"/>
        </w:rPr>
      </w:pPr>
      <w:r w:rsidRPr="00DA3E28">
        <w:rPr>
          <w:lang w:val="nl-NL"/>
        </w:rPr>
        <w:t xml:space="preserve">Việc xây dựng </w:t>
      </w:r>
      <w:r>
        <w:rPr>
          <w:lang w:val="nl-NL"/>
        </w:rPr>
        <w:t>Dự thảo Quyết định</w:t>
      </w:r>
      <w:r>
        <w:rPr>
          <w:lang w:val="nl-NL"/>
        </w:rPr>
        <w:t xml:space="preserve"> quy định</w:t>
      </w:r>
      <w:r w:rsidR="009F3353" w:rsidRPr="009F3353">
        <w:rPr>
          <w:bCs/>
          <w:spacing w:val="-6"/>
          <w:lang w:val="pt-BR"/>
        </w:rPr>
        <w:t xml:space="preserve"> mức tỷ lệ phần trăm (%) </w:t>
      </w:r>
      <w:r w:rsidR="009F3353" w:rsidRPr="009F3353">
        <w:rPr>
          <w:bCs/>
          <w:spacing w:val="-6"/>
        </w:rPr>
        <w:t xml:space="preserve">để tính đơn giá thuê đất, mức tỷ lệ (%) thu đối với đất xây dựng công trình ngầm, mức tỷ lệ (%) thu đối với đất có mặt nước </w:t>
      </w:r>
      <w:r w:rsidR="009F3353" w:rsidRPr="009F3353">
        <w:rPr>
          <w:spacing w:val="-6"/>
          <w:lang w:val="pt-BR"/>
        </w:rPr>
        <w:t xml:space="preserve">trên địa bàn tỉnh Thái Nguyên làm để Uỷ ban nhân dân tỉnh ban hành Quyết định quy định mức </w:t>
      </w:r>
      <w:r w:rsidR="009F3353" w:rsidRPr="009F3353">
        <w:rPr>
          <w:bCs/>
          <w:spacing w:val="-6"/>
          <w:lang w:val="pt-BR"/>
        </w:rPr>
        <w:t xml:space="preserve">tỷ lệ phần trăm (%) </w:t>
      </w:r>
      <w:r w:rsidR="009F3353" w:rsidRPr="009F3353">
        <w:rPr>
          <w:bCs/>
          <w:spacing w:val="-6"/>
        </w:rPr>
        <w:t xml:space="preserve">để tính đơn giá thuê đất, mức tỷ lệ (%) thu đối với đất xây dựng công trình ngầm, mức tỷ lệ (%) thu đối với đất có mặt nước </w:t>
      </w:r>
      <w:r w:rsidR="009F3353" w:rsidRPr="009F3353">
        <w:rPr>
          <w:spacing w:val="-6"/>
          <w:lang w:val="pt-BR"/>
        </w:rPr>
        <w:t xml:space="preserve">trên địa bàn tỉnh Thái Nguyên theo quy định tại Điều 26, Điều 27, Điều 28 và khoản 1 Điều 48 </w:t>
      </w:r>
      <w:r w:rsidR="009F3353" w:rsidRPr="009F3353">
        <w:rPr>
          <w:rFonts w:cstheme="majorHAnsi"/>
          <w:spacing w:val="-6"/>
          <w:lang w:val="pt-BR"/>
        </w:rPr>
        <w:t>Nghị định số 103/2024/NĐ-CP</w:t>
      </w:r>
      <w:r w:rsidR="009F3353" w:rsidRPr="009F3353">
        <w:rPr>
          <w:spacing w:val="-6"/>
          <w:lang w:val="pt-BR"/>
        </w:rPr>
        <w:t xml:space="preserve"> </w:t>
      </w:r>
      <w:r w:rsidR="009F3353" w:rsidRPr="009F3353">
        <w:rPr>
          <w:rFonts w:cstheme="majorHAnsi"/>
          <w:spacing w:val="-6"/>
          <w:lang w:val="pt-BR"/>
        </w:rPr>
        <w:t xml:space="preserve">ngày 30/7/2024 </w:t>
      </w:r>
      <w:r w:rsidR="009F3353" w:rsidRPr="009F3353">
        <w:rPr>
          <w:spacing w:val="-6"/>
          <w:lang w:val="pt-BR"/>
        </w:rPr>
        <w:t xml:space="preserve">của </w:t>
      </w:r>
      <w:r w:rsidR="009F3353" w:rsidRPr="009F3353">
        <w:rPr>
          <w:rFonts w:cstheme="majorHAnsi"/>
          <w:spacing w:val="-6"/>
          <w:lang w:val="pt-BR"/>
        </w:rPr>
        <w:t>Chính phủ để thống nhất thực hiện trên địa bàn tỉnh Thái Nguyên.</w:t>
      </w:r>
    </w:p>
    <w:p w14:paraId="20365B6A" w14:textId="77777777" w:rsidR="009F3353" w:rsidRPr="009F3353" w:rsidRDefault="009F3353" w:rsidP="003F03FA">
      <w:pPr>
        <w:spacing w:before="120" w:line="360" w:lineRule="exact"/>
        <w:ind w:firstLine="567"/>
        <w:jc w:val="both"/>
        <w:rPr>
          <w:b/>
          <w:lang w:val="pt-BR"/>
        </w:rPr>
      </w:pPr>
      <w:r w:rsidRPr="009F3353">
        <w:rPr>
          <w:b/>
          <w:lang w:val="pt-BR"/>
        </w:rPr>
        <w:t xml:space="preserve">2. Quan điểm </w:t>
      </w:r>
    </w:p>
    <w:p w14:paraId="605DA61B" w14:textId="34665A56" w:rsidR="009F3353" w:rsidRPr="009F3353" w:rsidRDefault="00D017C8" w:rsidP="003F03FA">
      <w:pPr>
        <w:spacing w:before="120" w:line="360" w:lineRule="exact"/>
        <w:ind w:firstLine="567"/>
        <w:jc w:val="both"/>
        <w:rPr>
          <w:lang w:val="pt-BR"/>
        </w:rPr>
      </w:pPr>
      <w:r>
        <w:rPr>
          <w:spacing w:val="-6"/>
          <w:lang w:val="pt-BR"/>
        </w:rPr>
        <w:t>Việc x</w:t>
      </w:r>
      <w:r w:rsidR="009F3353" w:rsidRPr="009F3353">
        <w:rPr>
          <w:spacing w:val="-6"/>
          <w:lang w:val="pt-BR"/>
        </w:rPr>
        <w:t xml:space="preserve">ây dựng </w:t>
      </w:r>
      <w:r w:rsidR="009F3353" w:rsidRPr="009F3353">
        <w:rPr>
          <w:bCs/>
          <w:spacing w:val="-6"/>
          <w:lang w:val="pt-BR"/>
        </w:rPr>
        <w:t xml:space="preserve">quy định mức tỷ lệ phần trăm (%) </w:t>
      </w:r>
      <w:r w:rsidR="009F3353" w:rsidRPr="009F3353">
        <w:rPr>
          <w:bCs/>
          <w:spacing w:val="-6"/>
        </w:rPr>
        <w:t xml:space="preserve">để tính đơn giá thuê đất, mức tỷ lệ (%) thu đối với đất xây dựng công trình ngầm, mức tỷ lệ (%) thu đối với đất có mặt nước </w:t>
      </w:r>
      <w:r w:rsidR="009F3353" w:rsidRPr="009F3353">
        <w:rPr>
          <w:spacing w:val="-6"/>
          <w:lang w:val="pt-BR"/>
        </w:rPr>
        <w:t xml:space="preserve">trên địa bàn tỉnh Thái Nguyên </w:t>
      </w:r>
      <w:r w:rsidR="009F3353" w:rsidRPr="009F3353">
        <w:rPr>
          <w:spacing w:val="-6"/>
        </w:rPr>
        <w:t xml:space="preserve">phải đảm bảo yêu cầu về tính hợp pháp và thống nhất trong hệ thống văn bản pháp luật; tuân thủ đúng trình tự, thủ tục xây dựng, ban hành văn bản, đúng thẩm quyền ban hành; đảm bảo công khai, minh bạch trong việc tiếp nhận, phản hồi ý kiến, kiến nghị của các tổ chức, cá nhân trong quá trình xây dựng và ban hành </w:t>
      </w:r>
      <w:r w:rsidR="00883DBC">
        <w:rPr>
          <w:spacing w:val="-6"/>
        </w:rPr>
        <w:t>Quyết định;</w:t>
      </w:r>
      <w:r w:rsidR="009F3353" w:rsidRPr="009F3353">
        <w:rPr>
          <w:spacing w:val="-6"/>
        </w:rPr>
        <w:t xml:space="preserve"> mức tỷ lệ phần trăm được xác định phù hợp với tình hình cụ thể của địa phương và quy định của pháp luật.</w:t>
      </w:r>
    </w:p>
    <w:p w14:paraId="03BA4748" w14:textId="2B0D220E" w:rsidR="009F3353" w:rsidRPr="009F3353" w:rsidRDefault="009F3353" w:rsidP="003F03FA">
      <w:pPr>
        <w:spacing w:before="120" w:line="360" w:lineRule="exact"/>
        <w:ind w:firstLine="567"/>
        <w:jc w:val="both"/>
        <w:rPr>
          <w:b/>
          <w:lang w:val="pt-BR"/>
        </w:rPr>
      </w:pPr>
      <w:r w:rsidRPr="009F3353">
        <w:rPr>
          <w:b/>
          <w:lang w:val="pt-BR"/>
        </w:rPr>
        <w:t>III. QUÁ TRÌNH XÂY DỰNG QUYẾT</w:t>
      </w:r>
      <w:r w:rsidR="00883DBC">
        <w:rPr>
          <w:b/>
          <w:lang w:val="pt-BR"/>
        </w:rPr>
        <w:t xml:space="preserve"> ĐỊNH</w:t>
      </w:r>
    </w:p>
    <w:p w14:paraId="1C4D5718" w14:textId="77777777" w:rsidR="009F3353" w:rsidRPr="009F3353" w:rsidRDefault="009F3353" w:rsidP="003F03FA">
      <w:pPr>
        <w:spacing w:before="120" w:line="360" w:lineRule="exact"/>
        <w:ind w:firstLine="567"/>
        <w:jc w:val="both"/>
        <w:rPr>
          <w:b/>
          <w:lang w:val="pt-BR"/>
        </w:rPr>
      </w:pPr>
      <w:r w:rsidRPr="009F3353">
        <w:rPr>
          <w:b/>
          <w:lang w:val="pt-BR"/>
        </w:rPr>
        <w:t>1. Tình hình thực hiện tỷ lệ phần trăm (%) để tính đ</w:t>
      </w:r>
      <w:r w:rsidRPr="009F3353">
        <w:rPr>
          <w:b/>
          <w:iCs/>
          <w:lang w:val="pt-BR"/>
        </w:rPr>
        <w:t>ơn</w:t>
      </w:r>
      <w:r w:rsidRPr="009F3353">
        <w:rPr>
          <w:b/>
          <w:lang w:val="pt-BR"/>
        </w:rPr>
        <w:t xml:space="preserve"> giá thuê đất trả tiền thuê đất hàng năm, đơn giá thuê đất xây dựng công trình ngầm và đơn giá thuê đất có mặt nước trên địa bàn tỉnh Thái Nguyên</w:t>
      </w:r>
    </w:p>
    <w:p w14:paraId="5E130790" w14:textId="77777777" w:rsidR="009F3353" w:rsidRPr="009F3353" w:rsidRDefault="009F3353" w:rsidP="003F03FA">
      <w:pPr>
        <w:spacing w:before="120" w:line="360" w:lineRule="exact"/>
        <w:ind w:firstLine="567"/>
        <w:jc w:val="both"/>
      </w:pPr>
      <w:r w:rsidRPr="009F3353">
        <w:rPr>
          <w:lang w:val="pt-BR"/>
        </w:rPr>
        <w:t xml:space="preserve">Tỷ lệ </w:t>
      </w:r>
      <w:r w:rsidRPr="009F3353">
        <w:rPr>
          <w:bCs/>
          <w:spacing w:val="-6"/>
          <w:lang w:val="pt-BR"/>
        </w:rPr>
        <w:t xml:space="preserve">định mức tỷ lệ phần trăm (%) </w:t>
      </w:r>
      <w:r w:rsidRPr="009F3353">
        <w:rPr>
          <w:bCs/>
          <w:spacing w:val="-6"/>
        </w:rPr>
        <w:t xml:space="preserve">để tính đơn giá thuê đất, mức tỷ lệ (%) thu đối với đất xây dựng công trình ngầm, mức tỷ lệ (%) thu đối với đất có mặt nước </w:t>
      </w:r>
      <w:r w:rsidRPr="009F3353">
        <w:rPr>
          <w:spacing w:val="-6"/>
          <w:lang w:val="pt-BR"/>
        </w:rPr>
        <w:t xml:space="preserve">trên địa bàn tỉnh Thái Nguyên đang </w:t>
      </w:r>
      <w:r w:rsidRPr="009F3353">
        <w:rPr>
          <w:bCs/>
        </w:rPr>
        <w:t xml:space="preserve">được thực hiện theo quy định tại </w:t>
      </w:r>
      <w:r w:rsidRPr="009F3353">
        <w:t xml:space="preserve">Quyết định số 06/2019/QĐ-UBND ngày 18/4/2019 của UBND tỉnh ban hành Quy định đơn giá thuê đất, thuê mặt nước trên địa bàn tỉnh Thái Nguyên. </w:t>
      </w:r>
      <w:r w:rsidRPr="009F3353">
        <w:rPr>
          <w:shd w:val="clear" w:color="auto" w:fill="FFFFFF"/>
          <w:lang w:val="pt-BR"/>
        </w:rPr>
        <w:t xml:space="preserve">Mức quy định này phù hợp, đảm bảo khung quy định của Chính phủ tại </w:t>
      </w:r>
      <w:r w:rsidRPr="009F3353">
        <w:rPr>
          <w:rFonts w:cstheme="majorHAnsi"/>
          <w:spacing w:val="-6"/>
          <w:lang w:val="pt-BR"/>
        </w:rPr>
        <w:t>Nghị định số 103/2024/NĐ-CP</w:t>
      </w:r>
      <w:r w:rsidRPr="009F3353">
        <w:rPr>
          <w:spacing w:val="-6"/>
          <w:lang w:val="pt-BR"/>
        </w:rPr>
        <w:t xml:space="preserve"> </w:t>
      </w:r>
      <w:r w:rsidRPr="009F3353">
        <w:rPr>
          <w:rFonts w:cstheme="majorHAnsi"/>
          <w:spacing w:val="-6"/>
          <w:lang w:val="pt-BR"/>
        </w:rPr>
        <w:t xml:space="preserve">ngày 30/7/2024 </w:t>
      </w:r>
      <w:r w:rsidRPr="009F3353">
        <w:rPr>
          <w:shd w:val="clear" w:color="auto" w:fill="FFFFFF"/>
          <w:lang w:val="pt-BR"/>
        </w:rPr>
        <w:t>và trong quá trình thực hiện không phát sinh các vướng mắc.</w:t>
      </w:r>
    </w:p>
    <w:p w14:paraId="1B1602F8" w14:textId="331F0766" w:rsidR="009F3353" w:rsidRPr="009F3353" w:rsidRDefault="009F3353" w:rsidP="003F03FA">
      <w:pPr>
        <w:spacing w:before="120" w:line="360" w:lineRule="exact"/>
        <w:ind w:firstLine="567"/>
        <w:jc w:val="both"/>
        <w:rPr>
          <w:b/>
          <w:lang w:val="pt-BR"/>
        </w:rPr>
      </w:pPr>
      <w:r w:rsidRPr="009F3353">
        <w:rPr>
          <w:b/>
          <w:kern w:val="18"/>
          <w:lang w:val="pt-BR"/>
        </w:rPr>
        <w:t xml:space="preserve">2. Quá trình xây dựng </w:t>
      </w:r>
      <w:r w:rsidR="00EF4998">
        <w:rPr>
          <w:b/>
          <w:kern w:val="18"/>
          <w:lang w:val="pt-BR"/>
        </w:rPr>
        <w:t>Quyết định</w:t>
      </w:r>
    </w:p>
    <w:p w14:paraId="367CADE6" w14:textId="77777777" w:rsidR="009F3353" w:rsidRPr="009F3353" w:rsidRDefault="009F3353" w:rsidP="003F03FA">
      <w:pPr>
        <w:widowControl w:val="0"/>
        <w:spacing w:before="120" w:line="360" w:lineRule="exact"/>
        <w:ind w:firstLine="567"/>
        <w:jc w:val="both"/>
      </w:pPr>
      <w:r w:rsidRPr="009F3353">
        <w:t xml:space="preserve">Căn cứ quy định tại Nghị định số 103/2024/NĐ-CP ngày 30/7/2024 của Chính phủ, UBND tỉnh đã có Công văn số 4976/UBND-KT ngày 06/9/2024 về việc triển khai thực hiện Nghị định số 103/2024/NĐ-CP ngày 30/7/2024 của </w:t>
      </w:r>
      <w:r w:rsidRPr="009F3353">
        <w:lastRenderedPageBreak/>
        <w:t>Chính phủ quy định về tiền sử dụng đất, tiền thuê đất, trong đó giao cho Sở Tài chính chủ trì, phối hợp với các cơ quan, đơn vị có liên quan tham mưu UBND tỉnh ban hành mức tỷ lệ (%) để tính đơn giá thuê đất, mức tỷ lệ (%) thu đối với đất xây dựng công trình ngầm, mức tỷ lệ (%) thu đối với đất có mặt nước sau khi xin ý kiến của Hội đồng nhân dân tỉnh.</w:t>
      </w:r>
    </w:p>
    <w:p w14:paraId="6828272B" w14:textId="77777777" w:rsidR="009F3353" w:rsidRDefault="009F3353" w:rsidP="003F03FA">
      <w:pPr>
        <w:spacing w:before="120" w:line="360" w:lineRule="exact"/>
        <w:ind w:firstLine="567"/>
        <w:jc w:val="both"/>
      </w:pPr>
      <w:r w:rsidRPr="009F3353">
        <w:t xml:space="preserve">Sở Tài chính đã có Công văn số 3345/STC-QLGDN ngày ngày 5/9/2024 gửi các cơ quan, đơn vị có liên quan và các địa phương đề nghị rà soát đánh giá tình hình thực hiện Quyết định số 06/2019/QĐ-UBND ngày 18/4/2019 của UBND tỉnh và đề xuất mức tỷ lệ phần trăm (%) tính đơn giá thuê đất, thuê mặt mước trên theo quy định tại Nghị định số 103/2024/NĐ-CP; đồng thời đã tổ chức họp liên ngành và các địa phương để thống nhất các nội dung tham mưu trình UBND tỉnh, HĐND tỉnh. Ý kiến đề xuất của các cơ quan, đơn vị, địa phương bằng văn bản và tại hội nghị đều thống nhất đề xuất giữ nguyên mức tỷ lệ (%) để tính đơn giá thuê đất, mức tỷ lệ (%) thu đối với đất xây dựng công trình ngầm, mức tỷ lệ (%) thu đối với đất có mặt nước như quy định tại Quyết định số 06/2019/QĐ-UBND ngày 18/4/2019 của UBND tỉnh Thái Nguyên. </w:t>
      </w:r>
    </w:p>
    <w:p w14:paraId="4E20978B" w14:textId="5E3F07D1" w:rsidR="003F03FA" w:rsidRDefault="003F03FA" w:rsidP="003F03FA">
      <w:pPr>
        <w:spacing w:before="120" w:line="360" w:lineRule="exact"/>
        <w:ind w:firstLine="567"/>
        <w:jc w:val="both"/>
      </w:pPr>
      <w:r>
        <w:t xml:space="preserve">Ngày 05/11/2024, Sở Tài chính đã có Tờ trình số 4357/TTr-STC về việc đề  nghị Uỷ ban nhân dân tỉnh xin ý kiến Hội đồng nhân dân tỉnh về mức </w:t>
      </w:r>
      <w:r w:rsidRPr="009F3353">
        <w:t>tỷ lệ phần trăm (%) thu đối với đất xây dựng công trình ngầm, mức tỷ lệ phần trăm (%) thu đối với đất</w:t>
      </w:r>
      <w:r w:rsidRPr="009F3353">
        <w:rPr>
          <w:lang w:val="vi-VN"/>
        </w:rPr>
        <w:t xml:space="preserve"> có mặt nước</w:t>
      </w:r>
      <w:r w:rsidRPr="009F3353">
        <w:t xml:space="preserve"> trên địa bàn tỉnh</w:t>
      </w:r>
      <w:r>
        <w:t xml:space="preserve"> Thái Nguyên;</w:t>
      </w:r>
    </w:p>
    <w:p w14:paraId="44C438B9" w14:textId="22FAB570" w:rsidR="00144804" w:rsidRPr="009F3353" w:rsidRDefault="00144804" w:rsidP="003F03FA">
      <w:pPr>
        <w:spacing w:before="120" w:line="360" w:lineRule="exact"/>
        <w:ind w:firstLine="567"/>
        <w:jc w:val="both"/>
      </w:pPr>
      <w:r>
        <w:t xml:space="preserve">Ngày </w:t>
      </w:r>
      <w:r>
        <w:t>06/11/2024</w:t>
      </w:r>
      <w:r>
        <w:t xml:space="preserve">, </w:t>
      </w:r>
      <w:r>
        <w:t>UBND tỉnh</w:t>
      </w:r>
      <w:r>
        <w:t xml:space="preserve"> đã có</w:t>
      </w:r>
      <w:r>
        <w:t xml:space="preserve"> Công văn số 6497/UBND -KT về việc xây dựng Quyết định quy phạm pháp luật của UBND tỉnh</w:t>
      </w:r>
      <w:r>
        <w:t>, trong đó có nội dung giao Sở Tài chính chủ trì, phối hợp với Sở Tư pháp và các sở, ngành, đơn vị có liên quan nghiên cứu, thống nhất tham mưu Quyết định của UBND tỉnh đảm bảo đúng trình tự, thủ tục theo quy định của pháp luật hiện hành.</w:t>
      </w:r>
    </w:p>
    <w:p w14:paraId="6954C3F0" w14:textId="7D0F6D00" w:rsidR="009F3353" w:rsidRPr="00144804" w:rsidRDefault="00144804" w:rsidP="003F03FA">
      <w:pPr>
        <w:pStyle w:val="NormalWeb"/>
        <w:shd w:val="clear" w:color="auto" w:fill="FFFFFF"/>
        <w:spacing w:before="120" w:beforeAutospacing="0" w:after="0" w:afterAutospacing="0" w:line="360" w:lineRule="exact"/>
        <w:ind w:firstLine="709"/>
        <w:jc w:val="both"/>
        <w:rPr>
          <w:b/>
          <w:sz w:val="28"/>
          <w:szCs w:val="28"/>
          <w:lang w:val="en-US"/>
        </w:rPr>
      </w:pPr>
      <w:r>
        <w:rPr>
          <w:b/>
          <w:spacing w:val="-2"/>
          <w:sz w:val="28"/>
          <w:szCs w:val="28"/>
          <w:lang w:val="en-US"/>
        </w:rPr>
        <w:t>IV</w:t>
      </w:r>
      <w:r w:rsidR="009F3353" w:rsidRPr="009F3353">
        <w:rPr>
          <w:b/>
          <w:spacing w:val="-2"/>
          <w:sz w:val="28"/>
          <w:szCs w:val="28"/>
        </w:rPr>
        <w:t xml:space="preserve">. BỐ CỤC VÀ NỘI DUNG CƠ BẢN CỦA QUYẾT </w:t>
      </w:r>
      <w:r>
        <w:rPr>
          <w:b/>
          <w:spacing w:val="-2"/>
          <w:sz w:val="28"/>
          <w:szCs w:val="28"/>
          <w:lang w:val="en-US"/>
        </w:rPr>
        <w:t>ĐỊNH</w:t>
      </w:r>
    </w:p>
    <w:p w14:paraId="73EDB968" w14:textId="7D630BAB" w:rsidR="009F3353" w:rsidRPr="009F3353" w:rsidRDefault="009F3353" w:rsidP="003F03FA">
      <w:pPr>
        <w:suppressAutoHyphens/>
        <w:spacing w:before="120" w:line="360" w:lineRule="exact"/>
        <w:ind w:firstLine="709"/>
        <w:contextualSpacing/>
        <w:jc w:val="both"/>
      </w:pPr>
      <w:r w:rsidRPr="009F3353">
        <w:t xml:space="preserve">Dự thảo </w:t>
      </w:r>
      <w:r w:rsidR="0099575B">
        <w:t xml:space="preserve">Quyết định của Uỷ ban nhân dân tỉnh </w:t>
      </w:r>
      <w:r w:rsidRPr="009F3353">
        <w:t xml:space="preserve">quy định mức tỷ lệ phần trăm (%) </w:t>
      </w:r>
      <w:r w:rsidRPr="009F3353">
        <w:rPr>
          <w:lang w:val="vi-VN"/>
        </w:rPr>
        <w:t xml:space="preserve">để </w:t>
      </w:r>
      <w:r w:rsidRPr="009F3353">
        <w:t>tính đơn giá thuê đất, mức tỷ lệ phần trăm (%) thu đối với đất xây dựng công trình ngầm, mức tỷ lệ phần trăm (%) thu đối với đất</w:t>
      </w:r>
      <w:r w:rsidRPr="009F3353">
        <w:rPr>
          <w:lang w:val="vi-VN"/>
        </w:rPr>
        <w:t xml:space="preserve"> có mặt nước</w:t>
      </w:r>
      <w:r w:rsidRPr="009F3353">
        <w:t xml:space="preserve"> trên địa bàn tỉnh</w:t>
      </w:r>
      <w:r w:rsidR="003F03FA">
        <w:t xml:space="preserve"> Thái Nguyên</w:t>
      </w:r>
      <w:r w:rsidRPr="009F3353">
        <w:t>; gồm 0</w:t>
      </w:r>
      <w:r w:rsidR="0099575B">
        <w:t>5</w:t>
      </w:r>
      <w:r w:rsidRPr="009F3353">
        <w:t xml:space="preserve"> Điều:</w:t>
      </w:r>
    </w:p>
    <w:p w14:paraId="481F2782" w14:textId="4A1A7A63" w:rsidR="0099575B" w:rsidRPr="0099575B" w:rsidRDefault="0099575B" w:rsidP="003F03FA">
      <w:pPr>
        <w:pStyle w:val="05NidungVB"/>
        <w:spacing w:before="120" w:after="0" w:line="360" w:lineRule="exact"/>
        <w:ind w:firstLine="709"/>
      </w:pPr>
      <w:r w:rsidRPr="0099575B">
        <w:rPr>
          <w:bCs/>
          <w:color w:val="000000"/>
          <w:spacing w:val="-12"/>
        </w:rPr>
        <w:t xml:space="preserve">Điều 1. </w:t>
      </w:r>
      <w:r w:rsidRPr="0099575B">
        <w:t>Mức tỷ lệ phần trăm (%) để tính đơn giá thuê đất trả tiền hàng năm</w:t>
      </w:r>
    </w:p>
    <w:p w14:paraId="26173AC7" w14:textId="25C430FB" w:rsidR="0099575B" w:rsidRPr="0099575B" w:rsidRDefault="0099575B" w:rsidP="003F03FA">
      <w:pPr>
        <w:shd w:val="clear" w:color="auto" w:fill="FFFFFF"/>
        <w:spacing w:before="120" w:line="360" w:lineRule="exact"/>
        <w:ind w:firstLine="709"/>
        <w:jc w:val="both"/>
      </w:pPr>
      <w:r w:rsidRPr="0099575B">
        <w:t>Điều 2. Mức tỷ lệ phần trăm (%) thu đối với đất xây dựng công trình ngầm</w:t>
      </w:r>
    </w:p>
    <w:p w14:paraId="2DD2187B" w14:textId="77777777" w:rsidR="0099575B" w:rsidRPr="0099575B" w:rsidRDefault="0099575B" w:rsidP="003F03FA">
      <w:pPr>
        <w:shd w:val="clear" w:color="auto" w:fill="FFFFFF"/>
        <w:spacing w:before="120" w:line="360" w:lineRule="exact"/>
        <w:ind w:firstLine="709"/>
        <w:jc w:val="both"/>
        <w:rPr>
          <w:bCs/>
          <w:iCs/>
          <w:color w:val="000000"/>
          <w:lang w:val="vi-VN" w:eastAsia="vi-VN"/>
        </w:rPr>
      </w:pPr>
      <w:r w:rsidRPr="0099575B">
        <w:rPr>
          <w:bCs/>
          <w:iCs/>
          <w:color w:val="000000"/>
          <w:lang w:eastAsia="vi-VN"/>
        </w:rPr>
        <w:t xml:space="preserve">Điều </w:t>
      </w:r>
      <w:r w:rsidRPr="0099575B">
        <w:rPr>
          <w:bCs/>
          <w:iCs/>
          <w:color w:val="000000"/>
          <w:lang w:val="vi-VN" w:eastAsia="vi-VN"/>
        </w:rPr>
        <w:t xml:space="preserve">3. </w:t>
      </w:r>
      <w:r w:rsidRPr="0099575B">
        <w:rPr>
          <w:bCs/>
          <w:iCs/>
          <w:color w:val="000000"/>
          <w:lang w:eastAsia="vi-VN"/>
        </w:rPr>
        <w:t>M</w:t>
      </w:r>
      <w:r w:rsidRPr="0099575B">
        <w:rPr>
          <w:bCs/>
          <w:iCs/>
          <w:color w:val="000000"/>
          <w:lang w:val="vi-VN" w:eastAsia="vi-VN"/>
        </w:rPr>
        <w:t xml:space="preserve">ức </w:t>
      </w:r>
      <w:r w:rsidRPr="0099575B">
        <w:rPr>
          <w:bCs/>
          <w:color w:val="000000"/>
          <w:lang w:val="vi-VN" w:eastAsia="vi-VN"/>
        </w:rPr>
        <w:t>tỷ lệ phần tr</w:t>
      </w:r>
      <w:r w:rsidRPr="0099575B">
        <w:rPr>
          <w:rFonts w:hint="eastAsia"/>
          <w:bCs/>
          <w:color w:val="000000"/>
          <w:lang w:val="vi-VN" w:eastAsia="vi-VN"/>
        </w:rPr>
        <w:t>ă</w:t>
      </w:r>
      <w:r w:rsidRPr="0099575B">
        <w:rPr>
          <w:bCs/>
          <w:color w:val="000000"/>
          <w:lang w:val="vi-VN" w:eastAsia="vi-VN"/>
        </w:rPr>
        <w:t xml:space="preserve">m (%) thu </w:t>
      </w:r>
      <w:r w:rsidRPr="0099575B">
        <w:rPr>
          <w:rFonts w:hint="eastAsia"/>
          <w:bCs/>
          <w:color w:val="000000"/>
          <w:lang w:val="vi-VN" w:eastAsia="vi-VN"/>
        </w:rPr>
        <w:t>đ</w:t>
      </w:r>
      <w:r w:rsidRPr="0099575B">
        <w:rPr>
          <w:bCs/>
          <w:color w:val="000000"/>
          <w:lang w:val="vi-VN" w:eastAsia="vi-VN"/>
        </w:rPr>
        <w:t xml:space="preserve">ối với </w:t>
      </w:r>
      <w:r w:rsidRPr="0099575B">
        <w:rPr>
          <w:rFonts w:hint="eastAsia"/>
          <w:bCs/>
          <w:color w:val="000000"/>
          <w:lang w:val="vi-VN" w:eastAsia="vi-VN"/>
        </w:rPr>
        <w:t>đ</w:t>
      </w:r>
      <w:r w:rsidRPr="0099575B">
        <w:rPr>
          <w:bCs/>
          <w:color w:val="000000"/>
          <w:lang w:val="vi-VN" w:eastAsia="vi-VN"/>
        </w:rPr>
        <w:t>ất có mặt n</w:t>
      </w:r>
      <w:r w:rsidRPr="0099575B">
        <w:rPr>
          <w:rFonts w:hint="eastAsia"/>
          <w:bCs/>
          <w:color w:val="000000"/>
          <w:lang w:val="vi-VN" w:eastAsia="vi-VN"/>
        </w:rPr>
        <w:t>ư</w:t>
      </w:r>
      <w:r w:rsidRPr="0099575B">
        <w:rPr>
          <w:bCs/>
          <w:color w:val="000000"/>
          <w:lang w:val="vi-VN" w:eastAsia="vi-VN"/>
        </w:rPr>
        <w:t>ớc</w:t>
      </w:r>
    </w:p>
    <w:p w14:paraId="76A516D1" w14:textId="77777777" w:rsidR="0099575B" w:rsidRDefault="0099575B" w:rsidP="003F03FA">
      <w:pPr>
        <w:spacing w:before="120" w:line="360" w:lineRule="exact"/>
        <w:ind w:firstLine="720"/>
        <w:jc w:val="both"/>
        <w:rPr>
          <w:bCs/>
          <w:color w:val="000000"/>
        </w:rPr>
      </w:pPr>
      <w:r w:rsidRPr="0099575B">
        <w:rPr>
          <w:bCs/>
          <w:color w:val="000000"/>
        </w:rPr>
        <w:t>Điều 4. Xử lý chuyển tiếp</w:t>
      </w:r>
    </w:p>
    <w:p w14:paraId="7D7A8223" w14:textId="77777777" w:rsidR="0099575B" w:rsidRPr="009C1B3C" w:rsidRDefault="0099575B" w:rsidP="003F03FA">
      <w:pPr>
        <w:spacing w:before="120" w:line="360" w:lineRule="exact"/>
        <w:ind w:firstLine="720"/>
        <w:jc w:val="both"/>
        <w:rPr>
          <w:color w:val="000000"/>
        </w:rPr>
      </w:pPr>
      <w:r w:rsidRPr="0099575B">
        <w:rPr>
          <w:bCs/>
          <w:color w:val="000000"/>
        </w:rPr>
        <w:t>Điều 5. Hiệu</w:t>
      </w:r>
      <w:r w:rsidRPr="009C1B3C">
        <w:rPr>
          <w:color w:val="000000"/>
        </w:rPr>
        <w:t xml:space="preserve"> lực thi hành và tổ chức thực h</w:t>
      </w:r>
      <w:r>
        <w:rPr>
          <w:color w:val="000000"/>
        </w:rPr>
        <w:t>iện</w:t>
      </w:r>
    </w:p>
    <w:p w14:paraId="6EA565CD" w14:textId="1217E648" w:rsidR="009F3353" w:rsidRDefault="009F3353" w:rsidP="003F03FA">
      <w:pPr>
        <w:pStyle w:val="05NidungVB"/>
        <w:spacing w:before="120" w:after="0" w:line="360" w:lineRule="exact"/>
        <w:ind w:firstLine="709"/>
      </w:pPr>
      <w:r w:rsidRPr="009F3353">
        <w:rPr>
          <w:lang w:val="vi-VN"/>
        </w:rPr>
        <w:t xml:space="preserve">Trên đây là Tờ trình về </w:t>
      </w:r>
      <w:r w:rsidR="0099575B">
        <w:t>Dự thảo Q</w:t>
      </w:r>
      <w:r w:rsidRPr="009F3353">
        <w:rPr>
          <w:lang w:val="vi-VN"/>
        </w:rPr>
        <w:t xml:space="preserve">uyết </w:t>
      </w:r>
      <w:r w:rsidR="0099575B">
        <w:t xml:space="preserve">định của Uỷ ban nhân dân tỉnh quy </w:t>
      </w:r>
      <w:r w:rsidR="0099575B">
        <w:lastRenderedPageBreak/>
        <w:t>định</w:t>
      </w:r>
      <w:r w:rsidRPr="009F3353">
        <w:t xml:space="preserve"> mức tỷ lệ phần trăm (%) </w:t>
      </w:r>
      <w:r w:rsidRPr="009F3353">
        <w:rPr>
          <w:lang w:val="vi-VN"/>
        </w:rPr>
        <w:t xml:space="preserve">để </w:t>
      </w:r>
      <w:r w:rsidRPr="009F3353">
        <w:t>tính đơn giá thuê đất, mức tỷ lệ phần trăm (%) thu đối với đất xây dựng công trình ngầm, mức tỷ lệ phần trăm (%) thu đối với đất</w:t>
      </w:r>
      <w:r w:rsidRPr="009F3353">
        <w:rPr>
          <w:lang w:val="vi-VN"/>
        </w:rPr>
        <w:t xml:space="preserve"> có mặt nước</w:t>
      </w:r>
      <w:r w:rsidRPr="009F3353">
        <w:t xml:space="preserve"> trên địa bàn tỉnh Thái Nguyên</w:t>
      </w:r>
      <w:r w:rsidRPr="009F3353">
        <w:rPr>
          <w:lang w:val="vi-VN"/>
        </w:rPr>
        <w:t>;</w:t>
      </w:r>
      <w:r w:rsidRPr="009F3353">
        <w:t xml:space="preserve"> Sở Tài chính</w:t>
      </w:r>
      <w:r w:rsidRPr="009F3353">
        <w:rPr>
          <w:lang w:val="vi-VN"/>
        </w:rPr>
        <w:t xml:space="preserve"> </w:t>
      </w:r>
      <w:r w:rsidRPr="009F3353">
        <w:t>kính trình UBND</w:t>
      </w:r>
      <w:r w:rsidRPr="009F3353">
        <w:rPr>
          <w:lang w:val="vi-VN"/>
        </w:rPr>
        <w:t xml:space="preserve"> tỉnh </w:t>
      </w:r>
      <w:r w:rsidR="0099575B">
        <w:t>xem xét, quyết định./.</w:t>
      </w:r>
    </w:p>
    <w:p w14:paraId="589A1D07" w14:textId="40D914FF" w:rsidR="0099575B" w:rsidRDefault="0099575B" w:rsidP="009F05F6">
      <w:pPr>
        <w:pStyle w:val="05NidungVB"/>
        <w:spacing w:before="120" w:line="340" w:lineRule="exact"/>
        <w:ind w:firstLine="709"/>
      </w:pPr>
      <w:r w:rsidRPr="003F03FA">
        <w:rPr>
          <w:b/>
          <w:bCs/>
        </w:rPr>
        <w:t>V. NHỮNG VẤN ĐỀ XIN Ý KIẾN (NẾU CÓ):</w:t>
      </w:r>
      <w:r>
        <w:t xml:space="preserve"> không</w:t>
      </w:r>
    </w:p>
    <w:p w14:paraId="1661378E" w14:textId="5FCF4C42" w:rsidR="0099575B" w:rsidRDefault="0099575B" w:rsidP="0099575B">
      <w:pPr>
        <w:pStyle w:val="BodyText2"/>
        <w:spacing w:before="120" w:after="0" w:line="340" w:lineRule="exact"/>
        <w:ind w:firstLine="567"/>
        <w:jc w:val="both"/>
        <w:rPr>
          <w:i/>
          <w:iCs/>
        </w:rPr>
      </w:pPr>
      <w:r w:rsidRPr="003B1A90">
        <w:rPr>
          <w:i/>
          <w:iCs/>
        </w:rPr>
        <w:t>Xin gửi kèm theo:</w:t>
      </w:r>
    </w:p>
    <w:p w14:paraId="2A9CEF52" w14:textId="77777777" w:rsidR="0099575B" w:rsidRDefault="0099575B" w:rsidP="0099575B">
      <w:pPr>
        <w:pStyle w:val="BodyText2"/>
        <w:spacing w:after="0" w:line="340" w:lineRule="exact"/>
        <w:ind w:firstLine="567"/>
        <w:jc w:val="both"/>
        <w:rPr>
          <w:i/>
          <w:iCs/>
        </w:rPr>
      </w:pPr>
      <w:r>
        <w:rPr>
          <w:i/>
          <w:iCs/>
        </w:rPr>
        <w:t>1. Dự thảo Quyết định;</w:t>
      </w:r>
    </w:p>
    <w:p w14:paraId="6195E11F" w14:textId="77777777" w:rsidR="0099575B" w:rsidRDefault="0099575B" w:rsidP="0099575B">
      <w:pPr>
        <w:spacing w:line="340" w:lineRule="exact"/>
        <w:ind w:firstLine="567"/>
        <w:jc w:val="both"/>
        <w:rPr>
          <w:i/>
          <w:lang w:val="pt-BR"/>
        </w:rPr>
      </w:pPr>
      <w:r>
        <w:rPr>
          <w:i/>
          <w:lang w:val="pt-BR"/>
        </w:rPr>
        <w:t xml:space="preserve">2.. </w:t>
      </w:r>
      <w:r w:rsidRPr="003E3FCB">
        <w:rPr>
          <w:i/>
          <w:lang w:val="pt-BR"/>
        </w:rPr>
        <w:t>Báo cáo thẩm định; báo cáo giải trình, tiếp thu ý kiến thẩm định;</w:t>
      </w:r>
    </w:p>
    <w:p w14:paraId="4DEA5547" w14:textId="77777777" w:rsidR="0099575B" w:rsidRDefault="0099575B" w:rsidP="0099575B">
      <w:pPr>
        <w:spacing w:line="340" w:lineRule="exact"/>
        <w:ind w:firstLine="567"/>
        <w:jc w:val="both"/>
        <w:rPr>
          <w:i/>
          <w:lang w:val="pt-BR"/>
        </w:rPr>
      </w:pPr>
      <w:r>
        <w:rPr>
          <w:i/>
          <w:lang w:val="pt-BR"/>
        </w:rPr>
        <w:t xml:space="preserve">3. </w:t>
      </w:r>
      <w:r w:rsidRPr="003E3FCB">
        <w:rPr>
          <w:i/>
          <w:lang w:val="pt-BR"/>
        </w:rPr>
        <w:t>Bản tổng hợp, giải trình, tiếp thu</w:t>
      </w:r>
      <w:r>
        <w:rPr>
          <w:i/>
          <w:lang w:val="pt-BR"/>
        </w:rPr>
        <w:t xml:space="preserve"> góp ý của các cơ quan, tổ chức.</w:t>
      </w:r>
    </w:p>
    <w:p w14:paraId="5A3F627B" w14:textId="77777777" w:rsidR="009F3353" w:rsidRPr="009F3353" w:rsidRDefault="009F3353" w:rsidP="009F3353">
      <w:pPr>
        <w:spacing w:line="300" w:lineRule="auto"/>
        <w:ind w:firstLine="840"/>
        <w:jc w:val="both"/>
        <w:rPr>
          <w:sz w:val="10"/>
          <w:lang w:val="it-IT"/>
        </w:rPr>
      </w:pPr>
    </w:p>
    <w:tbl>
      <w:tblPr>
        <w:tblW w:w="18710" w:type="dxa"/>
        <w:tblLook w:val="04A0" w:firstRow="1" w:lastRow="0" w:firstColumn="1" w:lastColumn="0" w:noHBand="0" w:noVBand="1"/>
      </w:tblPr>
      <w:tblGrid>
        <w:gridCol w:w="4536"/>
        <w:gridCol w:w="5103"/>
        <w:gridCol w:w="5103"/>
        <w:gridCol w:w="3968"/>
      </w:tblGrid>
      <w:tr w:rsidR="009F3353" w:rsidRPr="009F3353" w14:paraId="08A47C18" w14:textId="77777777" w:rsidTr="00D80222">
        <w:tc>
          <w:tcPr>
            <w:tcW w:w="4536" w:type="dxa"/>
          </w:tcPr>
          <w:p w14:paraId="4CB1F002" w14:textId="77777777" w:rsidR="009F3353" w:rsidRPr="009F3353" w:rsidRDefault="009F3353" w:rsidP="00D80222">
            <w:pPr>
              <w:jc w:val="both"/>
              <w:rPr>
                <w:i/>
              </w:rPr>
            </w:pPr>
            <w:r w:rsidRPr="009F3353">
              <w:rPr>
                <w:b/>
                <w:i/>
                <w:sz w:val="24"/>
                <w:szCs w:val="24"/>
              </w:rPr>
              <w:t>N</w:t>
            </w:r>
            <w:r w:rsidRPr="009F3353">
              <w:rPr>
                <w:rFonts w:hint="eastAsia"/>
                <w:b/>
                <w:i/>
                <w:sz w:val="24"/>
                <w:szCs w:val="24"/>
              </w:rPr>
              <w:t>ơ</w:t>
            </w:r>
            <w:r w:rsidRPr="009F3353">
              <w:rPr>
                <w:b/>
                <w:i/>
                <w:sz w:val="24"/>
                <w:szCs w:val="24"/>
              </w:rPr>
              <w:t>i nhận:</w:t>
            </w:r>
            <w:r w:rsidRPr="009F3353">
              <w:rPr>
                <w:i/>
              </w:rPr>
              <w:t xml:space="preserve">  </w:t>
            </w:r>
          </w:p>
          <w:p w14:paraId="61516912" w14:textId="77777777" w:rsidR="009F3353" w:rsidRPr="009F3353" w:rsidRDefault="009F3353" w:rsidP="00D80222">
            <w:pPr>
              <w:jc w:val="both"/>
              <w:rPr>
                <w:sz w:val="22"/>
              </w:rPr>
            </w:pPr>
            <w:r w:rsidRPr="009F3353">
              <w:rPr>
                <w:sz w:val="22"/>
              </w:rPr>
              <w:t>- Nh</w:t>
            </w:r>
            <w:r w:rsidRPr="009F3353">
              <w:rPr>
                <w:rFonts w:hint="eastAsia"/>
                <w:sz w:val="22"/>
              </w:rPr>
              <w:t>ư</w:t>
            </w:r>
            <w:r w:rsidRPr="009F3353">
              <w:rPr>
                <w:sz w:val="22"/>
              </w:rPr>
              <w:t xml:space="preserve"> kính gửi;</w:t>
            </w:r>
          </w:p>
          <w:p w14:paraId="0B38CA68" w14:textId="77777777" w:rsidR="009F3353" w:rsidRPr="009F3353" w:rsidRDefault="009F3353" w:rsidP="00D80222">
            <w:pPr>
              <w:jc w:val="both"/>
              <w:rPr>
                <w:sz w:val="22"/>
              </w:rPr>
            </w:pPr>
            <w:r w:rsidRPr="009F3353">
              <w:rPr>
                <w:sz w:val="22"/>
              </w:rPr>
              <w:t>- Sở Tư pháp;</w:t>
            </w:r>
          </w:p>
          <w:p w14:paraId="1CB9BCB8" w14:textId="77777777" w:rsidR="009F3353" w:rsidRPr="009F3353" w:rsidRDefault="009F3353" w:rsidP="00D80222">
            <w:pPr>
              <w:jc w:val="both"/>
              <w:rPr>
                <w:sz w:val="22"/>
              </w:rPr>
            </w:pPr>
            <w:r w:rsidRPr="009F3353">
              <w:rPr>
                <w:sz w:val="22"/>
              </w:rPr>
              <w:t>- Ban GĐ Sở;</w:t>
            </w:r>
          </w:p>
          <w:p w14:paraId="1C899685" w14:textId="77777777" w:rsidR="009F3353" w:rsidRPr="009F3353" w:rsidRDefault="009F3353" w:rsidP="00D80222">
            <w:pPr>
              <w:rPr>
                <w:sz w:val="22"/>
              </w:rPr>
            </w:pPr>
            <w:r w:rsidRPr="009F3353">
              <w:rPr>
                <w:sz w:val="22"/>
              </w:rPr>
              <w:t>- L</w:t>
            </w:r>
            <w:r w:rsidRPr="009F3353">
              <w:rPr>
                <w:rFonts w:hint="eastAsia"/>
                <w:sz w:val="22"/>
              </w:rPr>
              <w:t>ư</w:t>
            </w:r>
            <w:r w:rsidRPr="009F3353">
              <w:rPr>
                <w:sz w:val="22"/>
              </w:rPr>
              <w:t>u: VT, QLGDN.</w:t>
            </w:r>
          </w:p>
          <w:p w14:paraId="65601E37" w14:textId="4242006A" w:rsidR="009F3353" w:rsidRPr="009F3353" w:rsidRDefault="009F3353" w:rsidP="00D80222">
            <w:pPr>
              <w:rPr>
                <w:sz w:val="22"/>
              </w:rPr>
            </w:pPr>
            <w:r w:rsidRPr="009F3353">
              <w:rPr>
                <w:sz w:val="22"/>
              </w:rPr>
              <w:t xml:space="preserve">  (Liendt/T1</w:t>
            </w:r>
            <w:r w:rsidR="00760B69">
              <w:rPr>
                <w:sz w:val="22"/>
              </w:rPr>
              <w:t>1</w:t>
            </w:r>
            <w:r w:rsidRPr="009F3353">
              <w:rPr>
                <w:sz w:val="22"/>
              </w:rPr>
              <w:t>/2024)</w:t>
            </w:r>
          </w:p>
          <w:p w14:paraId="33742323" w14:textId="77777777" w:rsidR="009F3353" w:rsidRPr="009F3353" w:rsidRDefault="009F3353" w:rsidP="00D80222">
            <w:pPr>
              <w:jc w:val="both"/>
              <w:rPr>
                <w:sz w:val="24"/>
                <w:szCs w:val="24"/>
              </w:rPr>
            </w:pPr>
          </w:p>
          <w:p w14:paraId="0974B28F" w14:textId="77777777" w:rsidR="009F3353" w:rsidRPr="009F3353" w:rsidRDefault="009F3353" w:rsidP="00D80222">
            <w:pPr>
              <w:rPr>
                <w:sz w:val="22"/>
                <w:szCs w:val="22"/>
              </w:rPr>
            </w:pPr>
          </w:p>
        </w:tc>
        <w:tc>
          <w:tcPr>
            <w:tcW w:w="5103" w:type="dxa"/>
          </w:tcPr>
          <w:p w14:paraId="5CF2DE4E" w14:textId="77777777" w:rsidR="009F3353" w:rsidRPr="009F3353" w:rsidRDefault="009F3353" w:rsidP="00D80222">
            <w:pPr>
              <w:jc w:val="center"/>
              <w:outlineLvl w:val="2"/>
              <w:rPr>
                <w:b/>
                <w:bCs/>
                <w:lang w:val="nl-NL"/>
              </w:rPr>
            </w:pPr>
            <w:r w:rsidRPr="009F3353">
              <w:rPr>
                <w:b/>
                <w:bCs/>
                <w:lang w:val="nl-NL"/>
              </w:rPr>
              <w:t xml:space="preserve">KT. GIÁM </w:t>
            </w:r>
            <w:r w:rsidRPr="009F3353">
              <w:rPr>
                <w:rFonts w:hint="eastAsia"/>
                <w:b/>
                <w:bCs/>
                <w:lang w:val="nl-NL"/>
              </w:rPr>
              <w:t>Đ</w:t>
            </w:r>
            <w:r w:rsidRPr="009F3353">
              <w:rPr>
                <w:b/>
                <w:bCs/>
                <w:lang w:val="nl-NL"/>
              </w:rPr>
              <w:t>ỐC</w:t>
            </w:r>
          </w:p>
          <w:p w14:paraId="6C4745AD" w14:textId="77777777" w:rsidR="009F3353" w:rsidRPr="009F3353" w:rsidRDefault="009F3353" w:rsidP="00D80222">
            <w:pPr>
              <w:jc w:val="center"/>
              <w:outlineLvl w:val="2"/>
              <w:rPr>
                <w:b/>
                <w:bCs/>
                <w:lang w:val="nl-NL"/>
              </w:rPr>
            </w:pPr>
            <w:r w:rsidRPr="009F3353">
              <w:rPr>
                <w:b/>
                <w:bCs/>
                <w:lang w:val="nl-NL"/>
              </w:rPr>
              <w:t xml:space="preserve">PHÓ GIÁM </w:t>
            </w:r>
            <w:r w:rsidRPr="009F3353">
              <w:rPr>
                <w:rFonts w:hint="eastAsia"/>
                <w:b/>
                <w:bCs/>
                <w:lang w:val="nl-NL"/>
              </w:rPr>
              <w:t>Đ</w:t>
            </w:r>
            <w:r w:rsidRPr="009F3353">
              <w:rPr>
                <w:b/>
                <w:bCs/>
                <w:lang w:val="nl-NL"/>
              </w:rPr>
              <w:t>ỐC</w:t>
            </w:r>
          </w:p>
          <w:p w14:paraId="0548FAE8" w14:textId="77777777" w:rsidR="009F3353" w:rsidRPr="009F3353" w:rsidRDefault="009F3353" w:rsidP="00D80222">
            <w:pPr>
              <w:jc w:val="center"/>
              <w:outlineLvl w:val="2"/>
              <w:rPr>
                <w:b/>
                <w:bCs/>
                <w:sz w:val="12"/>
                <w:lang w:val="nl-NL"/>
              </w:rPr>
            </w:pPr>
          </w:p>
          <w:p w14:paraId="5BCE4FE6" w14:textId="77777777" w:rsidR="009F3353" w:rsidRPr="009F3353" w:rsidRDefault="009F3353" w:rsidP="00D80222">
            <w:pPr>
              <w:jc w:val="center"/>
              <w:outlineLvl w:val="2"/>
              <w:rPr>
                <w:b/>
                <w:bCs/>
                <w:sz w:val="24"/>
                <w:lang w:val="nl-NL"/>
              </w:rPr>
            </w:pPr>
          </w:p>
          <w:p w14:paraId="14DC1E8C" w14:textId="77777777" w:rsidR="009F3353" w:rsidRPr="009F3353" w:rsidRDefault="009F3353" w:rsidP="00D80222">
            <w:pPr>
              <w:jc w:val="center"/>
              <w:outlineLvl w:val="2"/>
              <w:rPr>
                <w:b/>
                <w:bCs/>
                <w:sz w:val="24"/>
                <w:lang w:val="nl-NL"/>
              </w:rPr>
            </w:pPr>
          </w:p>
          <w:p w14:paraId="5B8C9B3A" w14:textId="77777777" w:rsidR="009F3353" w:rsidRPr="009F3353" w:rsidRDefault="009F3353" w:rsidP="00D80222">
            <w:pPr>
              <w:jc w:val="center"/>
              <w:outlineLvl w:val="2"/>
              <w:rPr>
                <w:b/>
                <w:bCs/>
                <w:sz w:val="24"/>
                <w:lang w:val="nl-NL"/>
              </w:rPr>
            </w:pPr>
          </w:p>
          <w:p w14:paraId="3C2BED04" w14:textId="77777777" w:rsidR="009F3353" w:rsidRPr="009F3353" w:rsidRDefault="009F3353" w:rsidP="00D80222">
            <w:pPr>
              <w:jc w:val="center"/>
              <w:outlineLvl w:val="2"/>
              <w:rPr>
                <w:b/>
                <w:bCs/>
                <w:sz w:val="24"/>
                <w:lang w:val="nl-NL"/>
              </w:rPr>
            </w:pPr>
          </w:p>
          <w:p w14:paraId="7C309056" w14:textId="77777777" w:rsidR="009F3353" w:rsidRPr="009F3353" w:rsidRDefault="009F3353" w:rsidP="00D80222">
            <w:pPr>
              <w:jc w:val="center"/>
              <w:rPr>
                <w:sz w:val="22"/>
                <w:szCs w:val="22"/>
              </w:rPr>
            </w:pPr>
            <w:r w:rsidRPr="009F3353">
              <w:rPr>
                <w:b/>
                <w:bCs/>
                <w:lang w:val="nl-NL"/>
              </w:rPr>
              <w:t>Mai Trọng Tấn</w:t>
            </w:r>
          </w:p>
        </w:tc>
        <w:tc>
          <w:tcPr>
            <w:tcW w:w="5103" w:type="dxa"/>
          </w:tcPr>
          <w:p w14:paraId="6E1E23EF" w14:textId="77777777" w:rsidR="009F3353" w:rsidRPr="009F3353" w:rsidRDefault="009F3353" w:rsidP="00D80222">
            <w:pPr>
              <w:rPr>
                <w:sz w:val="22"/>
                <w:szCs w:val="22"/>
              </w:rPr>
            </w:pPr>
          </w:p>
        </w:tc>
        <w:tc>
          <w:tcPr>
            <w:tcW w:w="3968" w:type="dxa"/>
          </w:tcPr>
          <w:p w14:paraId="155568DC" w14:textId="77777777" w:rsidR="009F3353" w:rsidRPr="009F3353" w:rsidRDefault="009F3353" w:rsidP="00D80222">
            <w:pPr>
              <w:tabs>
                <w:tab w:val="left" w:pos="3836"/>
              </w:tabs>
              <w:jc w:val="center"/>
              <w:rPr>
                <w:b/>
              </w:rPr>
            </w:pPr>
          </w:p>
        </w:tc>
      </w:tr>
    </w:tbl>
    <w:p w14:paraId="162107BF" w14:textId="77777777" w:rsidR="00E81CFF" w:rsidRPr="009F3353" w:rsidRDefault="00E81CFF" w:rsidP="002F59A4">
      <w:pPr>
        <w:jc w:val="both"/>
        <w:rPr>
          <w:sz w:val="26"/>
          <w:szCs w:val="26"/>
          <w:lang w:val="pt-BR"/>
        </w:rPr>
        <w:sectPr w:rsidR="00E81CFF" w:rsidRPr="009F3353" w:rsidSect="00077114">
          <w:headerReference w:type="default" r:id="rId8"/>
          <w:footerReference w:type="even" r:id="rId9"/>
          <w:pgSz w:w="11906" w:h="16838" w:code="9"/>
          <w:pgMar w:top="1134" w:right="1134" w:bottom="1134" w:left="1701" w:header="284" w:footer="709" w:gutter="0"/>
          <w:cols w:space="708"/>
          <w:titlePg/>
          <w:docGrid w:linePitch="381"/>
        </w:sectPr>
      </w:pPr>
    </w:p>
    <w:p w14:paraId="0C32EF66" w14:textId="77777777" w:rsidR="007401ED" w:rsidRPr="009F3353" w:rsidRDefault="007401ED" w:rsidP="00664A73">
      <w:pPr>
        <w:jc w:val="center"/>
        <w:rPr>
          <w:sz w:val="26"/>
          <w:szCs w:val="26"/>
          <w:lang w:val="pt-BR"/>
        </w:rPr>
      </w:pPr>
    </w:p>
    <w:sectPr w:rsidR="007401ED" w:rsidRPr="009F3353" w:rsidSect="00620446">
      <w:pgSz w:w="11906" w:h="16838" w:code="9"/>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EADF7" w14:textId="77777777" w:rsidR="00DD2DE6" w:rsidRDefault="00DD2DE6">
      <w:r>
        <w:separator/>
      </w:r>
    </w:p>
  </w:endnote>
  <w:endnote w:type="continuationSeparator" w:id="0">
    <w:p w14:paraId="1D1662EF" w14:textId="77777777" w:rsidR="00DD2DE6" w:rsidRDefault="00DD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Times New Roman Italic">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F5BDC" w14:textId="77777777" w:rsidR="004E4025" w:rsidRDefault="006416A2" w:rsidP="00D70109">
    <w:pPr>
      <w:pStyle w:val="Footer"/>
      <w:framePr w:wrap="around" w:vAnchor="text" w:hAnchor="margin" w:xAlign="center" w:y="1"/>
      <w:rPr>
        <w:rStyle w:val="PageNumber"/>
      </w:rPr>
    </w:pPr>
    <w:r>
      <w:rPr>
        <w:rStyle w:val="PageNumber"/>
      </w:rPr>
      <w:fldChar w:fldCharType="begin"/>
    </w:r>
    <w:r w:rsidR="004E4025">
      <w:rPr>
        <w:rStyle w:val="PageNumber"/>
      </w:rPr>
      <w:instrText xml:space="preserve">PAGE  </w:instrText>
    </w:r>
    <w:r>
      <w:rPr>
        <w:rStyle w:val="PageNumber"/>
      </w:rPr>
      <w:fldChar w:fldCharType="end"/>
    </w:r>
  </w:p>
  <w:p w14:paraId="3A93FAC3" w14:textId="77777777" w:rsidR="004E4025" w:rsidRDefault="004E4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D3C53" w14:textId="77777777" w:rsidR="00DD2DE6" w:rsidRDefault="00DD2DE6">
      <w:r>
        <w:separator/>
      </w:r>
    </w:p>
  </w:footnote>
  <w:footnote w:type="continuationSeparator" w:id="0">
    <w:p w14:paraId="17AD8E80" w14:textId="77777777" w:rsidR="00DD2DE6" w:rsidRDefault="00DD2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3644686"/>
      <w:docPartObj>
        <w:docPartGallery w:val="Page Numbers (Top of Page)"/>
        <w:docPartUnique/>
      </w:docPartObj>
    </w:sdtPr>
    <w:sdtEndPr>
      <w:rPr>
        <w:noProof/>
        <w:sz w:val="26"/>
        <w:szCs w:val="26"/>
      </w:rPr>
    </w:sdtEndPr>
    <w:sdtContent>
      <w:p w14:paraId="405AB467" w14:textId="77777777" w:rsidR="007318D9" w:rsidRDefault="007318D9">
        <w:pPr>
          <w:pStyle w:val="Header"/>
          <w:jc w:val="center"/>
        </w:pPr>
      </w:p>
      <w:p w14:paraId="72C7A6A9" w14:textId="58F8A583" w:rsidR="004E4025" w:rsidRPr="00620446" w:rsidRDefault="006416A2">
        <w:pPr>
          <w:pStyle w:val="Header"/>
          <w:jc w:val="center"/>
          <w:rPr>
            <w:sz w:val="26"/>
            <w:szCs w:val="26"/>
          </w:rPr>
        </w:pPr>
        <w:r w:rsidRPr="00620446">
          <w:rPr>
            <w:sz w:val="26"/>
            <w:szCs w:val="26"/>
          </w:rPr>
          <w:fldChar w:fldCharType="begin"/>
        </w:r>
        <w:r w:rsidR="004E4025" w:rsidRPr="00620446">
          <w:rPr>
            <w:sz w:val="26"/>
            <w:szCs w:val="26"/>
          </w:rPr>
          <w:instrText xml:space="preserve"> PAGE   \* MERGEFORMAT </w:instrText>
        </w:r>
        <w:r w:rsidRPr="00620446">
          <w:rPr>
            <w:sz w:val="26"/>
            <w:szCs w:val="26"/>
          </w:rPr>
          <w:fldChar w:fldCharType="separate"/>
        </w:r>
        <w:r w:rsidR="001666FD">
          <w:rPr>
            <w:noProof/>
            <w:sz w:val="26"/>
            <w:szCs w:val="26"/>
          </w:rPr>
          <w:t>3</w:t>
        </w:r>
        <w:r w:rsidRPr="00620446">
          <w:rPr>
            <w:noProof/>
            <w:sz w:val="26"/>
            <w:szCs w:val="26"/>
          </w:rPr>
          <w:fldChar w:fldCharType="end"/>
        </w:r>
      </w:p>
    </w:sdtContent>
  </w:sdt>
  <w:p w14:paraId="70519A07" w14:textId="77777777" w:rsidR="004E4025" w:rsidRDefault="004E4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D74E3"/>
    <w:multiLevelType w:val="hybridMultilevel"/>
    <w:tmpl w:val="157EDB4A"/>
    <w:lvl w:ilvl="0" w:tplc="6CE61FE6">
      <w:start w:val="1"/>
      <w:numFmt w:val="lowerLetter"/>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1" w15:restartNumberingAfterBreak="0">
    <w:nsid w:val="104D013D"/>
    <w:multiLevelType w:val="hybridMultilevel"/>
    <w:tmpl w:val="61B6DF00"/>
    <w:lvl w:ilvl="0" w:tplc="12E08A9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 w15:restartNumberingAfterBreak="0">
    <w:nsid w:val="2EDC7D3F"/>
    <w:multiLevelType w:val="hybridMultilevel"/>
    <w:tmpl w:val="89FCF60A"/>
    <w:lvl w:ilvl="0" w:tplc="6AAE02A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31C50A1C"/>
    <w:multiLevelType w:val="hybridMultilevel"/>
    <w:tmpl w:val="105A95DC"/>
    <w:lvl w:ilvl="0" w:tplc="D024AB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D866A7"/>
    <w:multiLevelType w:val="hybridMultilevel"/>
    <w:tmpl w:val="43B86E30"/>
    <w:lvl w:ilvl="0" w:tplc="C34E3DD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41219E9"/>
    <w:multiLevelType w:val="hybridMultilevel"/>
    <w:tmpl w:val="E6C00516"/>
    <w:lvl w:ilvl="0" w:tplc="8F0E897C">
      <w:start w:val="1"/>
      <w:numFmt w:val="decimal"/>
      <w:lvlText w:val="%1."/>
      <w:lvlJc w:val="left"/>
      <w:pPr>
        <w:ind w:left="1051" w:hanging="36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6" w15:restartNumberingAfterBreak="0">
    <w:nsid w:val="564F586D"/>
    <w:multiLevelType w:val="hybridMultilevel"/>
    <w:tmpl w:val="EEF25360"/>
    <w:lvl w:ilvl="0" w:tplc="2514B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29D6AAA"/>
    <w:multiLevelType w:val="hybridMultilevel"/>
    <w:tmpl w:val="9C923BEA"/>
    <w:lvl w:ilvl="0" w:tplc="75280406">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8" w15:restartNumberingAfterBreak="0">
    <w:nsid w:val="648D51A9"/>
    <w:multiLevelType w:val="hybridMultilevel"/>
    <w:tmpl w:val="204A1622"/>
    <w:lvl w:ilvl="0" w:tplc="BFEA1EF0">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9" w15:restartNumberingAfterBreak="0">
    <w:nsid w:val="6BC76E5F"/>
    <w:multiLevelType w:val="hybridMultilevel"/>
    <w:tmpl w:val="B50C09E6"/>
    <w:lvl w:ilvl="0" w:tplc="6A6E797A">
      <w:start w:val="1"/>
      <w:numFmt w:val="upperRoman"/>
      <w:lvlText w:val="%1."/>
      <w:lvlJc w:val="left"/>
      <w:pPr>
        <w:ind w:left="1281" w:hanging="72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10" w15:restartNumberingAfterBreak="0">
    <w:nsid w:val="71964A85"/>
    <w:multiLevelType w:val="hybridMultilevel"/>
    <w:tmpl w:val="96B2A38E"/>
    <w:lvl w:ilvl="0" w:tplc="09321C7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7BA65AE3"/>
    <w:multiLevelType w:val="hybridMultilevel"/>
    <w:tmpl w:val="FAD09BF6"/>
    <w:lvl w:ilvl="0" w:tplc="FAC273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05649498">
    <w:abstractNumId w:val="3"/>
  </w:num>
  <w:num w:numId="2" w16cid:durableId="1581713189">
    <w:abstractNumId w:val="11"/>
  </w:num>
  <w:num w:numId="3" w16cid:durableId="1058943110">
    <w:abstractNumId w:val="8"/>
  </w:num>
  <w:num w:numId="4" w16cid:durableId="1595281270">
    <w:abstractNumId w:val="1"/>
  </w:num>
  <w:num w:numId="5" w16cid:durableId="313030177">
    <w:abstractNumId w:val="0"/>
  </w:num>
  <w:num w:numId="6" w16cid:durableId="398941353">
    <w:abstractNumId w:val="7"/>
  </w:num>
  <w:num w:numId="7" w16cid:durableId="753402755">
    <w:abstractNumId w:val="6"/>
  </w:num>
  <w:num w:numId="8" w16cid:durableId="1575360842">
    <w:abstractNumId w:val="9"/>
  </w:num>
  <w:num w:numId="9" w16cid:durableId="956176413">
    <w:abstractNumId w:val="10"/>
  </w:num>
  <w:num w:numId="10" w16cid:durableId="1631857628">
    <w:abstractNumId w:val="4"/>
  </w:num>
  <w:num w:numId="11" w16cid:durableId="1817868126">
    <w:abstractNumId w:val="2"/>
  </w:num>
  <w:num w:numId="12" w16cid:durableId="2651605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109"/>
    <w:rsid w:val="0000342C"/>
    <w:rsid w:val="00004ACC"/>
    <w:rsid w:val="00004C65"/>
    <w:rsid w:val="000052D5"/>
    <w:rsid w:val="000076D1"/>
    <w:rsid w:val="00007971"/>
    <w:rsid w:val="0001236C"/>
    <w:rsid w:val="00012FBE"/>
    <w:rsid w:val="000132A8"/>
    <w:rsid w:val="00021D1A"/>
    <w:rsid w:val="00022E23"/>
    <w:rsid w:val="0002491E"/>
    <w:rsid w:val="00025438"/>
    <w:rsid w:val="000268BF"/>
    <w:rsid w:val="00033D70"/>
    <w:rsid w:val="00037896"/>
    <w:rsid w:val="000425E8"/>
    <w:rsid w:val="00042B34"/>
    <w:rsid w:val="000433D1"/>
    <w:rsid w:val="000449AC"/>
    <w:rsid w:val="00047416"/>
    <w:rsid w:val="00052D76"/>
    <w:rsid w:val="000548A2"/>
    <w:rsid w:val="000555EB"/>
    <w:rsid w:val="00063B9C"/>
    <w:rsid w:val="000649C5"/>
    <w:rsid w:val="00064E21"/>
    <w:rsid w:val="0006628E"/>
    <w:rsid w:val="0006692A"/>
    <w:rsid w:val="0007018D"/>
    <w:rsid w:val="00071E3E"/>
    <w:rsid w:val="00071F2B"/>
    <w:rsid w:val="00077114"/>
    <w:rsid w:val="00077BC5"/>
    <w:rsid w:val="000817AC"/>
    <w:rsid w:val="00084787"/>
    <w:rsid w:val="0008734D"/>
    <w:rsid w:val="00090969"/>
    <w:rsid w:val="00090E1A"/>
    <w:rsid w:val="000957A9"/>
    <w:rsid w:val="00096412"/>
    <w:rsid w:val="000970EC"/>
    <w:rsid w:val="000978E7"/>
    <w:rsid w:val="00097988"/>
    <w:rsid w:val="000A1986"/>
    <w:rsid w:val="000A1E41"/>
    <w:rsid w:val="000A6249"/>
    <w:rsid w:val="000B105A"/>
    <w:rsid w:val="000B4CA4"/>
    <w:rsid w:val="000B5495"/>
    <w:rsid w:val="000B56CD"/>
    <w:rsid w:val="000B6A17"/>
    <w:rsid w:val="000C0AC1"/>
    <w:rsid w:val="000C0BB0"/>
    <w:rsid w:val="000C0F4F"/>
    <w:rsid w:val="000C122D"/>
    <w:rsid w:val="000C2258"/>
    <w:rsid w:val="000C2621"/>
    <w:rsid w:val="000C2993"/>
    <w:rsid w:val="000C3FE1"/>
    <w:rsid w:val="000C6073"/>
    <w:rsid w:val="000C61C2"/>
    <w:rsid w:val="000D0D59"/>
    <w:rsid w:val="000D1A89"/>
    <w:rsid w:val="000D1B9B"/>
    <w:rsid w:val="000D22D1"/>
    <w:rsid w:val="000D26AB"/>
    <w:rsid w:val="000D3D94"/>
    <w:rsid w:val="000D4308"/>
    <w:rsid w:val="000D60B6"/>
    <w:rsid w:val="000D65C6"/>
    <w:rsid w:val="000D70E3"/>
    <w:rsid w:val="000D749F"/>
    <w:rsid w:val="000E0ED0"/>
    <w:rsid w:val="000E1B04"/>
    <w:rsid w:val="000E5FD1"/>
    <w:rsid w:val="000E7750"/>
    <w:rsid w:val="000F0874"/>
    <w:rsid w:val="000F0EFF"/>
    <w:rsid w:val="000F3A36"/>
    <w:rsid w:val="000F54A0"/>
    <w:rsid w:val="0010007E"/>
    <w:rsid w:val="00105509"/>
    <w:rsid w:val="001056EE"/>
    <w:rsid w:val="00106971"/>
    <w:rsid w:val="00107B18"/>
    <w:rsid w:val="0011099D"/>
    <w:rsid w:val="00110B71"/>
    <w:rsid w:val="00113580"/>
    <w:rsid w:val="00113631"/>
    <w:rsid w:val="00113842"/>
    <w:rsid w:val="001138D3"/>
    <w:rsid w:val="00113ACE"/>
    <w:rsid w:val="001154F7"/>
    <w:rsid w:val="0011614C"/>
    <w:rsid w:val="00122E5F"/>
    <w:rsid w:val="00123840"/>
    <w:rsid w:val="00124E47"/>
    <w:rsid w:val="00125A24"/>
    <w:rsid w:val="001271B5"/>
    <w:rsid w:val="00127CBA"/>
    <w:rsid w:val="00130750"/>
    <w:rsid w:val="00132C3D"/>
    <w:rsid w:val="00135404"/>
    <w:rsid w:val="00140723"/>
    <w:rsid w:val="00144804"/>
    <w:rsid w:val="00146BCD"/>
    <w:rsid w:val="00147F53"/>
    <w:rsid w:val="00151D0F"/>
    <w:rsid w:val="00156B53"/>
    <w:rsid w:val="0015759D"/>
    <w:rsid w:val="001611F7"/>
    <w:rsid w:val="0016190F"/>
    <w:rsid w:val="001627C3"/>
    <w:rsid w:val="0016349A"/>
    <w:rsid w:val="00164185"/>
    <w:rsid w:val="001666FD"/>
    <w:rsid w:val="001710F9"/>
    <w:rsid w:val="00172234"/>
    <w:rsid w:val="00180768"/>
    <w:rsid w:val="00183DA2"/>
    <w:rsid w:val="00185E3B"/>
    <w:rsid w:val="001914B9"/>
    <w:rsid w:val="00191B7C"/>
    <w:rsid w:val="0019377A"/>
    <w:rsid w:val="00193DB4"/>
    <w:rsid w:val="00196591"/>
    <w:rsid w:val="00197339"/>
    <w:rsid w:val="001A2723"/>
    <w:rsid w:val="001A3C32"/>
    <w:rsid w:val="001A546C"/>
    <w:rsid w:val="001A5E05"/>
    <w:rsid w:val="001A7DF8"/>
    <w:rsid w:val="001B28E4"/>
    <w:rsid w:val="001B3176"/>
    <w:rsid w:val="001B34BD"/>
    <w:rsid w:val="001B4D5C"/>
    <w:rsid w:val="001C0504"/>
    <w:rsid w:val="001C0CF2"/>
    <w:rsid w:val="001C25EB"/>
    <w:rsid w:val="001C3558"/>
    <w:rsid w:val="001C5503"/>
    <w:rsid w:val="001C6F56"/>
    <w:rsid w:val="001C72E0"/>
    <w:rsid w:val="001C7B39"/>
    <w:rsid w:val="001D01C9"/>
    <w:rsid w:val="001D4011"/>
    <w:rsid w:val="001D5FD8"/>
    <w:rsid w:val="001D670E"/>
    <w:rsid w:val="001E0BC2"/>
    <w:rsid w:val="001E30E1"/>
    <w:rsid w:val="001E4FEC"/>
    <w:rsid w:val="001E7546"/>
    <w:rsid w:val="001E75AA"/>
    <w:rsid w:val="001E7DAA"/>
    <w:rsid w:val="001F0ED0"/>
    <w:rsid w:val="001F113D"/>
    <w:rsid w:val="001F47BF"/>
    <w:rsid w:val="001F4AC5"/>
    <w:rsid w:val="00201CEA"/>
    <w:rsid w:val="0020365F"/>
    <w:rsid w:val="00211ECC"/>
    <w:rsid w:val="002140C9"/>
    <w:rsid w:val="002176EF"/>
    <w:rsid w:val="00217981"/>
    <w:rsid w:val="00217FE6"/>
    <w:rsid w:val="0022038F"/>
    <w:rsid w:val="00220CCA"/>
    <w:rsid w:val="00221D5B"/>
    <w:rsid w:val="002223B5"/>
    <w:rsid w:val="00223FD1"/>
    <w:rsid w:val="00224775"/>
    <w:rsid w:val="00226EEB"/>
    <w:rsid w:val="00230C25"/>
    <w:rsid w:val="00231AEB"/>
    <w:rsid w:val="00232925"/>
    <w:rsid w:val="00233614"/>
    <w:rsid w:val="00234464"/>
    <w:rsid w:val="00236005"/>
    <w:rsid w:val="0023740E"/>
    <w:rsid w:val="0023744B"/>
    <w:rsid w:val="002428D4"/>
    <w:rsid w:val="00243A86"/>
    <w:rsid w:val="00246D3C"/>
    <w:rsid w:val="00252614"/>
    <w:rsid w:val="00252F1F"/>
    <w:rsid w:val="00253C90"/>
    <w:rsid w:val="0025559D"/>
    <w:rsid w:val="00256D93"/>
    <w:rsid w:val="002600AE"/>
    <w:rsid w:val="002611BD"/>
    <w:rsid w:val="00261344"/>
    <w:rsid w:val="00262CD1"/>
    <w:rsid w:val="002756AD"/>
    <w:rsid w:val="002776B9"/>
    <w:rsid w:val="002820AF"/>
    <w:rsid w:val="002865FB"/>
    <w:rsid w:val="00291D39"/>
    <w:rsid w:val="002938F2"/>
    <w:rsid w:val="00295A2B"/>
    <w:rsid w:val="00295BE2"/>
    <w:rsid w:val="00296944"/>
    <w:rsid w:val="002A56B0"/>
    <w:rsid w:val="002A7F6E"/>
    <w:rsid w:val="002B02EE"/>
    <w:rsid w:val="002B2A35"/>
    <w:rsid w:val="002B2DB0"/>
    <w:rsid w:val="002B4980"/>
    <w:rsid w:val="002C2BA4"/>
    <w:rsid w:val="002C3216"/>
    <w:rsid w:val="002C4359"/>
    <w:rsid w:val="002C7948"/>
    <w:rsid w:val="002D436C"/>
    <w:rsid w:val="002D560E"/>
    <w:rsid w:val="002D7FCF"/>
    <w:rsid w:val="002E054D"/>
    <w:rsid w:val="002E5FC6"/>
    <w:rsid w:val="002E6F77"/>
    <w:rsid w:val="002F0110"/>
    <w:rsid w:val="002F2334"/>
    <w:rsid w:val="002F2AA2"/>
    <w:rsid w:val="002F3B4A"/>
    <w:rsid w:val="002F59A4"/>
    <w:rsid w:val="00302534"/>
    <w:rsid w:val="003044F5"/>
    <w:rsid w:val="00311929"/>
    <w:rsid w:val="003123DA"/>
    <w:rsid w:val="0031314F"/>
    <w:rsid w:val="00313875"/>
    <w:rsid w:val="00313A35"/>
    <w:rsid w:val="00313FCF"/>
    <w:rsid w:val="00316AA6"/>
    <w:rsid w:val="003179B4"/>
    <w:rsid w:val="00323128"/>
    <w:rsid w:val="0032368E"/>
    <w:rsid w:val="00324B31"/>
    <w:rsid w:val="00325463"/>
    <w:rsid w:val="00330DC2"/>
    <w:rsid w:val="00331C0C"/>
    <w:rsid w:val="00332967"/>
    <w:rsid w:val="00334195"/>
    <w:rsid w:val="00334AF0"/>
    <w:rsid w:val="00334EC6"/>
    <w:rsid w:val="00335AA6"/>
    <w:rsid w:val="003371E2"/>
    <w:rsid w:val="00337C0B"/>
    <w:rsid w:val="00340543"/>
    <w:rsid w:val="00341CB9"/>
    <w:rsid w:val="00346CF9"/>
    <w:rsid w:val="00347FA3"/>
    <w:rsid w:val="00350F00"/>
    <w:rsid w:val="0035129E"/>
    <w:rsid w:val="003517C8"/>
    <w:rsid w:val="00353211"/>
    <w:rsid w:val="003555B0"/>
    <w:rsid w:val="00360BE2"/>
    <w:rsid w:val="00362F67"/>
    <w:rsid w:val="0037239C"/>
    <w:rsid w:val="0037297F"/>
    <w:rsid w:val="00372AFF"/>
    <w:rsid w:val="00373265"/>
    <w:rsid w:val="0037639B"/>
    <w:rsid w:val="00377FF3"/>
    <w:rsid w:val="003802D5"/>
    <w:rsid w:val="00380347"/>
    <w:rsid w:val="003837AC"/>
    <w:rsid w:val="00384375"/>
    <w:rsid w:val="0038544B"/>
    <w:rsid w:val="00385663"/>
    <w:rsid w:val="0038651A"/>
    <w:rsid w:val="00386FCD"/>
    <w:rsid w:val="00390101"/>
    <w:rsid w:val="00390498"/>
    <w:rsid w:val="00391AA3"/>
    <w:rsid w:val="00391BA8"/>
    <w:rsid w:val="003949B5"/>
    <w:rsid w:val="00395422"/>
    <w:rsid w:val="0039565F"/>
    <w:rsid w:val="0039654D"/>
    <w:rsid w:val="00396A6E"/>
    <w:rsid w:val="003A0991"/>
    <w:rsid w:val="003A3E39"/>
    <w:rsid w:val="003A4556"/>
    <w:rsid w:val="003A4737"/>
    <w:rsid w:val="003A4FB9"/>
    <w:rsid w:val="003A79BD"/>
    <w:rsid w:val="003A7DC2"/>
    <w:rsid w:val="003B1A65"/>
    <w:rsid w:val="003C20A1"/>
    <w:rsid w:val="003C72FD"/>
    <w:rsid w:val="003D272B"/>
    <w:rsid w:val="003D49BA"/>
    <w:rsid w:val="003E4AB8"/>
    <w:rsid w:val="003F02A7"/>
    <w:rsid w:val="003F03FA"/>
    <w:rsid w:val="003F0CDC"/>
    <w:rsid w:val="003F6088"/>
    <w:rsid w:val="003F6A58"/>
    <w:rsid w:val="003F7D9C"/>
    <w:rsid w:val="00400517"/>
    <w:rsid w:val="0040058E"/>
    <w:rsid w:val="004012C6"/>
    <w:rsid w:val="00401D98"/>
    <w:rsid w:val="004033C4"/>
    <w:rsid w:val="00403522"/>
    <w:rsid w:val="004052A4"/>
    <w:rsid w:val="004053DE"/>
    <w:rsid w:val="00405859"/>
    <w:rsid w:val="00406544"/>
    <w:rsid w:val="00407BAA"/>
    <w:rsid w:val="0041076C"/>
    <w:rsid w:val="0041190A"/>
    <w:rsid w:val="004127FE"/>
    <w:rsid w:val="0041427C"/>
    <w:rsid w:val="00416B66"/>
    <w:rsid w:val="00417391"/>
    <w:rsid w:val="00421891"/>
    <w:rsid w:val="00421E47"/>
    <w:rsid w:val="004240C1"/>
    <w:rsid w:val="00426D5B"/>
    <w:rsid w:val="0043208F"/>
    <w:rsid w:val="00433B08"/>
    <w:rsid w:val="00434E2E"/>
    <w:rsid w:val="00435C3A"/>
    <w:rsid w:val="00436502"/>
    <w:rsid w:val="0044360B"/>
    <w:rsid w:val="00445CDD"/>
    <w:rsid w:val="004467C7"/>
    <w:rsid w:val="004477F2"/>
    <w:rsid w:val="004523CA"/>
    <w:rsid w:val="004547E8"/>
    <w:rsid w:val="0045779C"/>
    <w:rsid w:val="00457F68"/>
    <w:rsid w:val="00462C5F"/>
    <w:rsid w:val="00463B71"/>
    <w:rsid w:val="004734E0"/>
    <w:rsid w:val="00473769"/>
    <w:rsid w:val="00474D55"/>
    <w:rsid w:val="00477FEB"/>
    <w:rsid w:val="00482BD1"/>
    <w:rsid w:val="00485915"/>
    <w:rsid w:val="0049263F"/>
    <w:rsid w:val="00492913"/>
    <w:rsid w:val="00493385"/>
    <w:rsid w:val="00493AD3"/>
    <w:rsid w:val="00494469"/>
    <w:rsid w:val="00494BED"/>
    <w:rsid w:val="00495ACA"/>
    <w:rsid w:val="00495FCE"/>
    <w:rsid w:val="00496A23"/>
    <w:rsid w:val="004A0B1E"/>
    <w:rsid w:val="004A2AB7"/>
    <w:rsid w:val="004A2D2B"/>
    <w:rsid w:val="004A5544"/>
    <w:rsid w:val="004A5983"/>
    <w:rsid w:val="004B02FC"/>
    <w:rsid w:val="004B06A2"/>
    <w:rsid w:val="004B07E2"/>
    <w:rsid w:val="004B173A"/>
    <w:rsid w:val="004B3911"/>
    <w:rsid w:val="004B3A04"/>
    <w:rsid w:val="004B5384"/>
    <w:rsid w:val="004B5CC2"/>
    <w:rsid w:val="004B65CC"/>
    <w:rsid w:val="004B77B6"/>
    <w:rsid w:val="004C052C"/>
    <w:rsid w:val="004C13D7"/>
    <w:rsid w:val="004C375C"/>
    <w:rsid w:val="004C75EE"/>
    <w:rsid w:val="004C7EF8"/>
    <w:rsid w:val="004D0301"/>
    <w:rsid w:val="004D1D69"/>
    <w:rsid w:val="004D298E"/>
    <w:rsid w:val="004D2B63"/>
    <w:rsid w:val="004D2FE7"/>
    <w:rsid w:val="004D5B62"/>
    <w:rsid w:val="004E0102"/>
    <w:rsid w:val="004E268C"/>
    <w:rsid w:val="004E3EBD"/>
    <w:rsid w:val="004E4025"/>
    <w:rsid w:val="004E72C5"/>
    <w:rsid w:val="004F0D73"/>
    <w:rsid w:val="00502494"/>
    <w:rsid w:val="00513542"/>
    <w:rsid w:val="005155BC"/>
    <w:rsid w:val="00521CC6"/>
    <w:rsid w:val="00522243"/>
    <w:rsid w:val="00523577"/>
    <w:rsid w:val="00525B3D"/>
    <w:rsid w:val="00525F3F"/>
    <w:rsid w:val="00531642"/>
    <w:rsid w:val="00532462"/>
    <w:rsid w:val="00532876"/>
    <w:rsid w:val="005345A1"/>
    <w:rsid w:val="00541CDB"/>
    <w:rsid w:val="005452EE"/>
    <w:rsid w:val="00545612"/>
    <w:rsid w:val="0055010F"/>
    <w:rsid w:val="00550763"/>
    <w:rsid w:val="00550FE7"/>
    <w:rsid w:val="00557E21"/>
    <w:rsid w:val="00560968"/>
    <w:rsid w:val="00561A7A"/>
    <w:rsid w:val="00565C3A"/>
    <w:rsid w:val="00566BCB"/>
    <w:rsid w:val="00571D8A"/>
    <w:rsid w:val="005764D4"/>
    <w:rsid w:val="00577BFC"/>
    <w:rsid w:val="00581CFF"/>
    <w:rsid w:val="005835CE"/>
    <w:rsid w:val="00584D91"/>
    <w:rsid w:val="0058558B"/>
    <w:rsid w:val="00587BB4"/>
    <w:rsid w:val="00594FF7"/>
    <w:rsid w:val="0059621E"/>
    <w:rsid w:val="005A2159"/>
    <w:rsid w:val="005A64DF"/>
    <w:rsid w:val="005B04BE"/>
    <w:rsid w:val="005B0A09"/>
    <w:rsid w:val="005B1857"/>
    <w:rsid w:val="005B1FDF"/>
    <w:rsid w:val="005B2850"/>
    <w:rsid w:val="005B3180"/>
    <w:rsid w:val="005B5718"/>
    <w:rsid w:val="005B5A62"/>
    <w:rsid w:val="005B678D"/>
    <w:rsid w:val="005C49AF"/>
    <w:rsid w:val="005C5042"/>
    <w:rsid w:val="005C52AF"/>
    <w:rsid w:val="005C75E7"/>
    <w:rsid w:val="005D49A8"/>
    <w:rsid w:val="005D55C7"/>
    <w:rsid w:val="005D5B0B"/>
    <w:rsid w:val="005D5EA0"/>
    <w:rsid w:val="005D77B4"/>
    <w:rsid w:val="005E05EF"/>
    <w:rsid w:val="005E0E49"/>
    <w:rsid w:val="005E27FE"/>
    <w:rsid w:val="005E28B6"/>
    <w:rsid w:val="005E33CA"/>
    <w:rsid w:val="005E427A"/>
    <w:rsid w:val="005E5626"/>
    <w:rsid w:val="005E58CA"/>
    <w:rsid w:val="005E6ACC"/>
    <w:rsid w:val="005E758A"/>
    <w:rsid w:val="005E7E28"/>
    <w:rsid w:val="005F211E"/>
    <w:rsid w:val="005F39A8"/>
    <w:rsid w:val="005F3C48"/>
    <w:rsid w:val="005F4ADA"/>
    <w:rsid w:val="005F4C8C"/>
    <w:rsid w:val="00605557"/>
    <w:rsid w:val="00605A92"/>
    <w:rsid w:val="00607FB3"/>
    <w:rsid w:val="00610928"/>
    <w:rsid w:val="00610B31"/>
    <w:rsid w:val="00610B67"/>
    <w:rsid w:val="00613787"/>
    <w:rsid w:val="00613DA1"/>
    <w:rsid w:val="00615D71"/>
    <w:rsid w:val="00616F7E"/>
    <w:rsid w:val="00620446"/>
    <w:rsid w:val="00620EA7"/>
    <w:rsid w:val="00620FC4"/>
    <w:rsid w:val="00623C5D"/>
    <w:rsid w:val="00623F24"/>
    <w:rsid w:val="00625C41"/>
    <w:rsid w:val="006276EB"/>
    <w:rsid w:val="00627839"/>
    <w:rsid w:val="006303D4"/>
    <w:rsid w:val="006321FA"/>
    <w:rsid w:val="0063581E"/>
    <w:rsid w:val="00640295"/>
    <w:rsid w:val="006404BF"/>
    <w:rsid w:val="006416A2"/>
    <w:rsid w:val="00644A63"/>
    <w:rsid w:val="00644B8C"/>
    <w:rsid w:val="006461A0"/>
    <w:rsid w:val="00646D4A"/>
    <w:rsid w:val="006511D6"/>
    <w:rsid w:val="00651439"/>
    <w:rsid w:val="006522DE"/>
    <w:rsid w:val="0065518D"/>
    <w:rsid w:val="00655E78"/>
    <w:rsid w:val="0066347C"/>
    <w:rsid w:val="00664A73"/>
    <w:rsid w:val="0066551F"/>
    <w:rsid w:val="006655A7"/>
    <w:rsid w:val="00666447"/>
    <w:rsid w:val="0067089A"/>
    <w:rsid w:val="00671D8D"/>
    <w:rsid w:val="00673202"/>
    <w:rsid w:val="006760E6"/>
    <w:rsid w:val="0068171E"/>
    <w:rsid w:val="00681E44"/>
    <w:rsid w:val="0068206C"/>
    <w:rsid w:val="00685C4A"/>
    <w:rsid w:val="00687087"/>
    <w:rsid w:val="006875EF"/>
    <w:rsid w:val="006918EC"/>
    <w:rsid w:val="00695029"/>
    <w:rsid w:val="00696EA0"/>
    <w:rsid w:val="00697D63"/>
    <w:rsid w:val="006A0232"/>
    <w:rsid w:val="006A10EA"/>
    <w:rsid w:val="006A3486"/>
    <w:rsid w:val="006A3EE7"/>
    <w:rsid w:val="006B0E56"/>
    <w:rsid w:val="006B3CCD"/>
    <w:rsid w:val="006B4028"/>
    <w:rsid w:val="006B5789"/>
    <w:rsid w:val="006B713A"/>
    <w:rsid w:val="006B7EFB"/>
    <w:rsid w:val="006C0CAE"/>
    <w:rsid w:val="006C1701"/>
    <w:rsid w:val="006C2790"/>
    <w:rsid w:val="006C4231"/>
    <w:rsid w:val="006C6B5E"/>
    <w:rsid w:val="006C76F9"/>
    <w:rsid w:val="006D0420"/>
    <w:rsid w:val="006D40EB"/>
    <w:rsid w:val="006D57A5"/>
    <w:rsid w:val="006D5F97"/>
    <w:rsid w:val="006D6210"/>
    <w:rsid w:val="006D74B1"/>
    <w:rsid w:val="006D778A"/>
    <w:rsid w:val="006D7F17"/>
    <w:rsid w:val="006E5D11"/>
    <w:rsid w:val="006F12DB"/>
    <w:rsid w:val="006F24E3"/>
    <w:rsid w:val="006F5E4B"/>
    <w:rsid w:val="007008C8"/>
    <w:rsid w:val="00701C1B"/>
    <w:rsid w:val="007028E6"/>
    <w:rsid w:val="00706064"/>
    <w:rsid w:val="00706430"/>
    <w:rsid w:val="007071D9"/>
    <w:rsid w:val="007104CB"/>
    <w:rsid w:val="00713317"/>
    <w:rsid w:val="007145EA"/>
    <w:rsid w:val="00716112"/>
    <w:rsid w:val="007171E3"/>
    <w:rsid w:val="00717F6E"/>
    <w:rsid w:val="007213DE"/>
    <w:rsid w:val="00721B06"/>
    <w:rsid w:val="00722CBB"/>
    <w:rsid w:val="00725261"/>
    <w:rsid w:val="00725ABC"/>
    <w:rsid w:val="0072732E"/>
    <w:rsid w:val="007318D9"/>
    <w:rsid w:val="00731D9F"/>
    <w:rsid w:val="00732606"/>
    <w:rsid w:val="00735053"/>
    <w:rsid w:val="00737771"/>
    <w:rsid w:val="007401ED"/>
    <w:rsid w:val="00742A75"/>
    <w:rsid w:val="00744C1D"/>
    <w:rsid w:val="00745B9C"/>
    <w:rsid w:val="00745BAC"/>
    <w:rsid w:val="00745C8B"/>
    <w:rsid w:val="00746AB3"/>
    <w:rsid w:val="00750558"/>
    <w:rsid w:val="00753EAC"/>
    <w:rsid w:val="0075685B"/>
    <w:rsid w:val="007572DC"/>
    <w:rsid w:val="00757C84"/>
    <w:rsid w:val="00760B69"/>
    <w:rsid w:val="00760FC6"/>
    <w:rsid w:val="007614D2"/>
    <w:rsid w:val="007619FE"/>
    <w:rsid w:val="00761A2E"/>
    <w:rsid w:val="00762975"/>
    <w:rsid w:val="0076345C"/>
    <w:rsid w:val="00764082"/>
    <w:rsid w:val="00764394"/>
    <w:rsid w:val="0076626F"/>
    <w:rsid w:val="00770D09"/>
    <w:rsid w:val="00772B8B"/>
    <w:rsid w:val="00773DCB"/>
    <w:rsid w:val="007740E3"/>
    <w:rsid w:val="007768A7"/>
    <w:rsid w:val="007810DA"/>
    <w:rsid w:val="00781564"/>
    <w:rsid w:val="007822C4"/>
    <w:rsid w:val="0078698D"/>
    <w:rsid w:val="00786C7E"/>
    <w:rsid w:val="0078707C"/>
    <w:rsid w:val="0079348E"/>
    <w:rsid w:val="007937F1"/>
    <w:rsid w:val="00793F2C"/>
    <w:rsid w:val="00794D0F"/>
    <w:rsid w:val="00795684"/>
    <w:rsid w:val="00796107"/>
    <w:rsid w:val="00796152"/>
    <w:rsid w:val="007964B6"/>
    <w:rsid w:val="0079685D"/>
    <w:rsid w:val="007A2178"/>
    <w:rsid w:val="007A2C16"/>
    <w:rsid w:val="007B0DFC"/>
    <w:rsid w:val="007B15D8"/>
    <w:rsid w:val="007B440D"/>
    <w:rsid w:val="007B4E5C"/>
    <w:rsid w:val="007B6B51"/>
    <w:rsid w:val="007C4303"/>
    <w:rsid w:val="007C57AB"/>
    <w:rsid w:val="007D0A57"/>
    <w:rsid w:val="007D160F"/>
    <w:rsid w:val="007D2C39"/>
    <w:rsid w:val="007D383B"/>
    <w:rsid w:val="007D45C4"/>
    <w:rsid w:val="007E0DEF"/>
    <w:rsid w:val="007E0F20"/>
    <w:rsid w:val="007E476B"/>
    <w:rsid w:val="007F0A6E"/>
    <w:rsid w:val="007F3CE0"/>
    <w:rsid w:val="007F463D"/>
    <w:rsid w:val="007F7718"/>
    <w:rsid w:val="00800764"/>
    <w:rsid w:val="008023E5"/>
    <w:rsid w:val="00803774"/>
    <w:rsid w:val="00803865"/>
    <w:rsid w:val="00804918"/>
    <w:rsid w:val="008053FC"/>
    <w:rsid w:val="00805D3A"/>
    <w:rsid w:val="008113C7"/>
    <w:rsid w:val="00811B44"/>
    <w:rsid w:val="00811CC0"/>
    <w:rsid w:val="0081355E"/>
    <w:rsid w:val="008155AD"/>
    <w:rsid w:val="00822418"/>
    <w:rsid w:val="00822A1B"/>
    <w:rsid w:val="0082379E"/>
    <w:rsid w:val="008271D7"/>
    <w:rsid w:val="00830E50"/>
    <w:rsid w:val="00831882"/>
    <w:rsid w:val="008339C3"/>
    <w:rsid w:val="00834B1E"/>
    <w:rsid w:val="00834E56"/>
    <w:rsid w:val="00837241"/>
    <w:rsid w:val="00842D82"/>
    <w:rsid w:val="0084304F"/>
    <w:rsid w:val="00843375"/>
    <w:rsid w:val="00850813"/>
    <w:rsid w:val="00851980"/>
    <w:rsid w:val="00857502"/>
    <w:rsid w:val="00860833"/>
    <w:rsid w:val="0086086C"/>
    <w:rsid w:val="00861AC4"/>
    <w:rsid w:val="00864278"/>
    <w:rsid w:val="00866484"/>
    <w:rsid w:val="00867380"/>
    <w:rsid w:val="008714B5"/>
    <w:rsid w:val="008745E0"/>
    <w:rsid w:val="008748F5"/>
    <w:rsid w:val="008755D7"/>
    <w:rsid w:val="008756A9"/>
    <w:rsid w:val="00881A80"/>
    <w:rsid w:val="00881BE7"/>
    <w:rsid w:val="00883DBC"/>
    <w:rsid w:val="008906D6"/>
    <w:rsid w:val="00890F27"/>
    <w:rsid w:val="00895C8B"/>
    <w:rsid w:val="0089723C"/>
    <w:rsid w:val="008A0662"/>
    <w:rsid w:val="008A1C69"/>
    <w:rsid w:val="008A2104"/>
    <w:rsid w:val="008A3AE7"/>
    <w:rsid w:val="008A3E48"/>
    <w:rsid w:val="008B6B93"/>
    <w:rsid w:val="008C3CA6"/>
    <w:rsid w:val="008C4C30"/>
    <w:rsid w:val="008C62F7"/>
    <w:rsid w:val="008C6ABF"/>
    <w:rsid w:val="008C7CE4"/>
    <w:rsid w:val="008D1E48"/>
    <w:rsid w:val="008D29AF"/>
    <w:rsid w:val="008D4234"/>
    <w:rsid w:val="008D489F"/>
    <w:rsid w:val="008D752C"/>
    <w:rsid w:val="008E0D17"/>
    <w:rsid w:val="008E3C60"/>
    <w:rsid w:val="008E3C8B"/>
    <w:rsid w:val="008E41A0"/>
    <w:rsid w:val="008E5BF1"/>
    <w:rsid w:val="008E65A4"/>
    <w:rsid w:val="008E735A"/>
    <w:rsid w:val="008F12C4"/>
    <w:rsid w:val="008F18EF"/>
    <w:rsid w:val="008F3DA0"/>
    <w:rsid w:val="008F53EE"/>
    <w:rsid w:val="008F5864"/>
    <w:rsid w:val="009023F6"/>
    <w:rsid w:val="009030B9"/>
    <w:rsid w:val="00904164"/>
    <w:rsid w:val="00905967"/>
    <w:rsid w:val="00907C43"/>
    <w:rsid w:val="00910DDC"/>
    <w:rsid w:val="00911E48"/>
    <w:rsid w:val="00911E75"/>
    <w:rsid w:val="009136A5"/>
    <w:rsid w:val="009137BA"/>
    <w:rsid w:val="00915136"/>
    <w:rsid w:val="009169EB"/>
    <w:rsid w:val="009177AE"/>
    <w:rsid w:val="00920147"/>
    <w:rsid w:val="00920E45"/>
    <w:rsid w:val="0092179B"/>
    <w:rsid w:val="00921ECC"/>
    <w:rsid w:val="009245D9"/>
    <w:rsid w:val="009302F7"/>
    <w:rsid w:val="00931C51"/>
    <w:rsid w:val="00932BBD"/>
    <w:rsid w:val="0093337C"/>
    <w:rsid w:val="0093381B"/>
    <w:rsid w:val="00936231"/>
    <w:rsid w:val="00936544"/>
    <w:rsid w:val="00936C81"/>
    <w:rsid w:val="00936FC6"/>
    <w:rsid w:val="009371E2"/>
    <w:rsid w:val="0093784A"/>
    <w:rsid w:val="009407ED"/>
    <w:rsid w:val="00940A1D"/>
    <w:rsid w:val="00941736"/>
    <w:rsid w:val="00941911"/>
    <w:rsid w:val="00942544"/>
    <w:rsid w:val="00944986"/>
    <w:rsid w:val="00944F39"/>
    <w:rsid w:val="00945486"/>
    <w:rsid w:val="009511F6"/>
    <w:rsid w:val="00951992"/>
    <w:rsid w:val="00954A5E"/>
    <w:rsid w:val="00961F4A"/>
    <w:rsid w:val="009655C6"/>
    <w:rsid w:val="00973512"/>
    <w:rsid w:val="00973B65"/>
    <w:rsid w:val="00975084"/>
    <w:rsid w:val="00982D65"/>
    <w:rsid w:val="009858BB"/>
    <w:rsid w:val="00985AD0"/>
    <w:rsid w:val="00985F31"/>
    <w:rsid w:val="00986863"/>
    <w:rsid w:val="009869D3"/>
    <w:rsid w:val="00987BB2"/>
    <w:rsid w:val="00992491"/>
    <w:rsid w:val="00992E1D"/>
    <w:rsid w:val="0099575B"/>
    <w:rsid w:val="009A0C5F"/>
    <w:rsid w:val="009A4DFF"/>
    <w:rsid w:val="009B15B1"/>
    <w:rsid w:val="009B206B"/>
    <w:rsid w:val="009B222C"/>
    <w:rsid w:val="009B3BAF"/>
    <w:rsid w:val="009B46EE"/>
    <w:rsid w:val="009B5251"/>
    <w:rsid w:val="009B5E5E"/>
    <w:rsid w:val="009B7750"/>
    <w:rsid w:val="009C2E58"/>
    <w:rsid w:val="009C3911"/>
    <w:rsid w:val="009C79BF"/>
    <w:rsid w:val="009D6E54"/>
    <w:rsid w:val="009D6F80"/>
    <w:rsid w:val="009E43D2"/>
    <w:rsid w:val="009E4C7E"/>
    <w:rsid w:val="009E4DF3"/>
    <w:rsid w:val="009E593F"/>
    <w:rsid w:val="009E5F5A"/>
    <w:rsid w:val="009E6637"/>
    <w:rsid w:val="009E6BBB"/>
    <w:rsid w:val="009E6EC0"/>
    <w:rsid w:val="009F05F6"/>
    <w:rsid w:val="009F0748"/>
    <w:rsid w:val="009F3353"/>
    <w:rsid w:val="009F3FAA"/>
    <w:rsid w:val="00A07C6B"/>
    <w:rsid w:val="00A1003F"/>
    <w:rsid w:val="00A11ADF"/>
    <w:rsid w:val="00A124FF"/>
    <w:rsid w:val="00A20C8D"/>
    <w:rsid w:val="00A2360D"/>
    <w:rsid w:val="00A238F8"/>
    <w:rsid w:val="00A24B63"/>
    <w:rsid w:val="00A31265"/>
    <w:rsid w:val="00A31CCC"/>
    <w:rsid w:val="00A3245A"/>
    <w:rsid w:val="00A3275F"/>
    <w:rsid w:val="00A342AC"/>
    <w:rsid w:val="00A3670F"/>
    <w:rsid w:val="00A418EC"/>
    <w:rsid w:val="00A42887"/>
    <w:rsid w:val="00A4393C"/>
    <w:rsid w:val="00A43964"/>
    <w:rsid w:val="00A44BF5"/>
    <w:rsid w:val="00A47B22"/>
    <w:rsid w:val="00A53E62"/>
    <w:rsid w:val="00A5509D"/>
    <w:rsid w:val="00A55B7F"/>
    <w:rsid w:val="00A615EF"/>
    <w:rsid w:val="00A61616"/>
    <w:rsid w:val="00A6712A"/>
    <w:rsid w:val="00A73589"/>
    <w:rsid w:val="00A73D4D"/>
    <w:rsid w:val="00A75050"/>
    <w:rsid w:val="00A75B7E"/>
    <w:rsid w:val="00A77E26"/>
    <w:rsid w:val="00A8271B"/>
    <w:rsid w:val="00A8363A"/>
    <w:rsid w:val="00A8383D"/>
    <w:rsid w:val="00A8415E"/>
    <w:rsid w:val="00A84AE4"/>
    <w:rsid w:val="00A850DC"/>
    <w:rsid w:val="00A851B7"/>
    <w:rsid w:val="00A87F93"/>
    <w:rsid w:val="00A90E6A"/>
    <w:rsid w:val="00A90F81"/>
    <w:rsid w:val="00A92611"/>
    <w:rsid w:val="00AA36F0"/>
    <w:rsid w:val="00AA374F"/>
    <w:rsid w:val="00AA47BB"/>
    <w:rsid w:val="00AA4DD1"/>
    <w:rsid w:val="00AA601B"/>
    <w:rsid w:val="00AB3247"/>
    <w:rsid w:val="00AB3D92"/>
    <w:rsid w:val="00AB6221"/>
    <w:rsid w:val="00AC24F8"/>
    <w:rsid w:val="00AC4922"/>
    <w:rsid w:val="00AC4A0B"/>
    <w:rsid w:val="00AC7451"/>
    <w:rsid w:val="00AC75A4"/>
    <w:rsid w:val="00AD297E"/>
    <w:rsid w:val="00AE17F9"/>
    <w:rsid w:val="00AE463C"/>
    <w:rsid w:val="00AE47AC"/>
    <w:rsid w:val="00AE5FCF"/>
    <w:rsid w:val="00AE6ABF"/>
    <w:rsid w:val="00AE78F6"/>
    <w:rsid w:val="00AF3152"/>
    <w:rsid w:val="00AF3474"/>
    <w:rsid w:val="00AF3F90"/>
    <w:rsid w:val="00AF548D"/>
    <w:rsid w:val="00AF5A41"/>
    <w:rsid w:val="00AF6274"/>
    <w:rsid w:val="00AF6CAC"/>
    <w:rsid w:val="00B01F41"/>
    <w:rsid w:val="00B05361"/>
    <w:rsid w:val="00B05369"/>
    <w:rsid w:val="00B05DF6"/>
    <w:rsid w:val="00B0769B"/>
    <w:rsid w:val="00B1298D"/>
    <w:rsid w:val="00B13600"/>
    <w:rsid w:val="00B13E65"/>
    <w:rsid w:val="00B17750"/>
    <w:rsid w:val="00B238D0"/>
    <w:rsid w:val="00B25D71"/>
    <w:rsid w:val="00B3194E"/>
    <w:rsid w:val="00B32DCE"/>
    <w:rsid w:val="00B3739F"/>
    <w:rsid w:val="00B40BC8"/>
    <w:rsid w:val="00B4122A"/>
    <w:rsid w:val="00B43F46"/>
    <w:rsid w:val="00B444A1"/>
    <w:rsid w:val="00B45030"/>
    <w:rsid w:val="00B45AB0"/>
    <w:rsid w:val="00B46B9D"/>
    <w:rsid w:val="00B5487C"/>
    <w:rsid w:val="00B5636E"/>
    <w:rsid w:val="00B621A0"/>
    <w:rsid w:val="00B622F7"/>
    <w:rsid w:val="00B6241A"/>
    <w:rsid w:val="00B63B94"/>
    <w:rsid w:val="00B654DA"/>
    <w:rsid w:val="00B7106E"/>
    <w:rsid w:val="00B71099"/>
    <w:rsid w:val="00B72088"/>
    <w:rsid w:val="00B725B3"/>
    <w:rsid w:val="00B752E0"/>
    <w:rsid w:val="00B80337"/>
    <w:rsid w:val="00B80497"/>
    <w:rsid w:val="00B80CBC"/>
    <w:rsid w:val="00B812A2"/>
    <w:rsid w:val="00B81C8E"/>
    <w:rsid w:val="00B82D52"/>
    <w:rsid w:val="00B86F21"/>
    <w:rsid w:val="00B911EB"/>
    <w:rsid w:val="00B91BB6"/>
    <w:rsid w:val="00B92139"/>
    <w:rsid w:val="00B92DF0"/>
    <w:rsid w:val="00B940AE"/>
    <w:rsid w:val="00BA39D3"/>
    <w:rsid w:val="00BA6ADE"/>
    <w:rsid w:val="00BA6F79"/>
    <w:rsid w:val="00BA79AD"/>
    <w:rsid w:val="00BA7F33"/>
    <w:rsid w:val="00BB36FE"/>
    <w:rsid w:val="00BB3D52"/>
    <w:rsid w:val="00BB41D7"/>
    <w:rsid w:val="00BB4401"/>
    <w:rsid w:val="00BC087F"/>
    <w:rsid w:val="00BC3429"/>
    <w:rsid w:val="00BC55A2"/>
    <w:rsid w:val="00BD0070"/>
    <w:rsid w:val="00BD0FE3"/>
    <w:rsid w:val="00BD1B8F"/>
    <w:rsid w:val="00BD1F4F"/>
    <w:rsid w:val="00BD480B"/>
    <w:rsid w:val="00BD544B"/>
    <w:rsid w:val="00BD7B39"/>
    <w:rsid w:val="00BE0347"/>
    <w:rsid w:val="00BE08C9"/>
    <w:rsid w:val="00BE287B"/>
    <w:rsid w:val="00BE5F56"/>
    <w:rsid w:val="00BE7272"/>
    <w:rsid w:val="00BF2A8A"/>
    <w:rsid w:val="00BF342A"/>
    <w:rsid w:val="00BF6728"/>
    <w:rsid w:val="00BF6757"/>
    <w:rsid w:val="00BF7177"/>
    <w:rsid w:val="00C00D73"/>
    <w:rsid w:val="00C02712"/>
    <w:rsid w:val="00C03ADD"/>
    <w:rsid w:val="00C045F2"/>
    <w:rsid w:val="00C04777"/>
    <w:rsid w:val="00C10C53"/>
    <w:rsid w:val="00C1116F"/>
    <w:rsid w:val="00C14486"/>
    <w:rsid w:val="00C152F6"/>
    <w:rsid w:val="00C1659F"/>
    <w:rsid w:val="00C21E47"/>
    <w:rsid w:val="00C23774"/>
    <w:rsid w:val="00C23AD9"/>
    <w:rsid w:val="00C23EC9"/>
    <w:rsid w:val="00C25613"/>
    <w:rsid w:val="00C30FF2"/>
    <w:rsid w:val="00C31930"/>
    <w:rsid w:val="00C31B8D"/>
    <w:rsid w:val="00C31CC6"/>
    <w:rsid w:val="00C31CE7"/>
    <w:rsid w:val="00C343C9"/>
    <w:rsid w:val="00C3551A"/>
    <w:rsid w:val="00C367C7"/>
    <w:rsid w:val="00C36CE5"/>
    <w:rsid w:val="00C40476"/>
    <w:rsid w:val="00C41B03"/>
    <w:rsid w:val="00C43A75"/>
    <w:rsid w:val="00C44FB4"/>
    <w:rsid w:val="00C45B9E"/>
    <w:rsid w:val="00C468DF"/>
    <w:rsid w:val="00C478AA"/>
    <w:rsid w:val="00C47E0B"/>
    <w:rsid w:val="00C5347A"/>
    <w:rsid w:val="00C548B4"/>
    <w:rsid w:val="00C54B4E"/>
    <w:rsid w:val="00C62623"/>
    <w:rsid w:val="00C62F47"/>
    <w:rsid w:val="00C65C47"/>
    <w:rsid w:val="00C66741"/>
    <w:rsid w:val="00C6708D"/>
    <w:rsid w:val="00C67F4C"/>
    <w:rsid w:val="00C708C9"/>
    <w:rsid w:val="00C7179E"/>
    <w:rsid w:val="00C71930"/>
    <w:rsid w:val="00C72BBA"/>
    <w:rsid w:val="00C7321F"/>
    <w:rsid w:val="00C737AC"/>
    <w:rsid w:val="00C73861"/>
    <w:rsid w:val="00C74DCC"/>
    <w:rsid w:val="00C75BC5"/>
    <w:rsid w:val="00C77D68"/>
    <w:rsid w:val="00C80885"/>
    <w:rsid w:val="00C84DA8"/>
    <w:rsid w:val="00C85A2D"/>
    <w:rsid w:val="00C86FBC"/>
    <w:rsid w:val="00C90531"/>
    <w:rsid w:val="00C9096D"/>
    <w:rsid w:val="00C91F10"/>
    <w:rsid w:val="00C92A18"/>
    <w:rsid w:val="00C92B7A"/>
    <w:rsid w:val="00C9570C"/>
    <w:rsid w:val="00C95F44"/>
    <w:rsid w:val="00CA1796"/>
    <w:rsid w:val="00CA2A2A"/>
    <w:rsid w:val="00CA4880"/>
    <w:rsid w:val="00CA7FF3"/>
    <w:rsid w:val="00CB0F99"/>
    <w:rsid w:val="00CB52D9"/>
    <w:rsid w:val="00CB6930"/>
    <w:rsid w:val="00CB762B"/>
    <w:rsid w:val="00CB7A82"/>
    <w:rsid w:val="00CB7C54"/>
    <w:rsid w:val="00CC2058"/>
    <w:rsid w:val="00CC21BF"/>
    <w:rsid w:val="00CC59D6"/>
    <w:rsid w:val="00CC5E15"/>
    <w:rsid w:val="00CD018A"/>
    <w:rsid w:val="00CD06D1"/>
    <w:rsid w:val="00CD62A8"/>
    <w:rsid w:val="00CD7AA8"/>
    <w:rsid w:val="00CE38D4"/>
    <w:rsid w:val="00CE4D8A"/>
    <w:rsid w:val="00CE6F5A"/>
    <w:rsid w:val="00CF1142"/>
    <w:rsid w:val="00CF257B"/>
    <w:rsid w:val="00CF51D8"/>
    <w:rsid w:val="00CF5D8A"/>
    <w:rsid w:val="00CF6210"/>
    <w:rsid w:val="00D00CE7"/>
    <w:rsid w:val="00D017C8"/>
    <w:rsid w:val="00D02648"/>
    <w:rsid w:val="00D048AB"/>
    <w:rsid w:val="00D05C66"/>
    <w:rsid w:val="00D117C6"/>
    <w:rsid w:val="00D123F1"/>
    <w:rsid w:val="00D134D9"/>
    <w:rsid w:val="00D16EAA"/>
    <w:rsid w:val="00D17204"/>
    <w:rsid w:val="00D21F0C"/>
    <w:rsid w:val="00D23923"/>
    <w:rsid w:val="00D24340"/>
    <w:rsid w:val="00D24EB7"/>
    <w:rsid w:val="00D2643A"/>
    <w:rsid w:val="00D2665C"/>
    <w:rsid w:val="00D27A78"/>
    <w:rsid w:val="00D32315"/>
    <w:rsid w:val="00D33FF5"/>
    <w:rsid w:val="00D40195"/>
    <w:rsid w:val="00D40321"/>
    <w:rsid w:val="00D40B46"/>
    <w:rsid w:val="00D42F35"/>
    <w:rsid w:val="00D450D2"/>
    <w:rsid w:val="00D4519B"/>
    <w:rsid w:val="00D51A2D"/>
    <w:rsid w:val="00D5216A"/>
    <w:rsid w:val="00D530F4"/>
    <w:rsid w:val="00D55914"/>
    <w:rsid w:val="00D56FA7"/>
    <w:rsid w:val="00D67DD1"/>
    <w:rsid w:val="00D70109"/>
    <w:rsid w:val="00D77474"/>
    <w:rsid w:val="00D84ED8"/>
    <w:rsid w:val="00D87224"/>
    <w:rsid w:val="00D90133"/>
    <w:rsid w:val="00D92626"/>
    <w:rsid w:val="00D92A4C"/>
    <w:rsid w:val="00D9327A"/>
    <w:rsid w:val="00D9460C"/>
    <w:rsid w:val="00D953F6"/>
    <w:rsid w:val="00DA41B7"/>
    <w:rsid w:val="00DA71A9"/>
    <w:rsid w:val="00DB3275"/>
    <w:rsid w:val="00DC0415"/>
    <w:rsid w:val="00DC1B38"/>
    <w:rsid w:val="00DC5382"/>
    <w:rsid w:val="00DC6418"/>
    <w:rsid w:val="00DC6CBA"/>
    <w:rsid w:val="00DC74E7"/>
    <w:rsid w:val="00DC7F1E"/>
    <w:rsid w:val="00DD1BA1"/>
    <w:rsid w:val="00DD2DE6"/>
    <w:rsid w:val="00DD4334"/>
    <w:rsid w:val="00DD692E"/>
    <w:rsid w:val="00DD73EE"/>
    <w:rsid w:val="00DE00F7"/>
    <w:rsid w:val="00DE053D"/>
    <w:rsid w:val="00DE0850"/>
    <w:rsid w:val="00DE1CB9"/>
    <w:rsid w:val="00DE287A"/>
    <w:rsid w:val="00DE3D8C"/>
    <w:rsid w:val="00DE6074"/>
    <w:rsid w:val="00DE767C"/>
    <w:rsid w:val="00DF071D"/>
    <w:rsid w:val="00DF0928"/>
    <w:rsid w:val="00DF25E6"/>
    <w:rsid w:val="00DF5999"/>
    <w:rsid w:val="00DF7DBC"/>
    <w:rsid w:val="00E013CA"/>
    <w:rsid w:val="00E0318B"/>
    <w:rsid w:val="00E04B34"/>
    <w:rsid w:val="00E05620"/>
    <w:rsid w:val="00E15884"/>
    <w:rsid w:val="00E169B3"/>
    <w:rsid w:val="00E16C56"/>
    <w:rsid w:val="00E17C88"/>
    <w:rsid w:val="00E201D8"/>
    <w:rsid w:val="00E26E67"/>
    <w:rsid w:val="00E31961"/>
    <w:rsid w:val="00E32BC3"/>
    <w:rsid w:val="00E34798"/>
    <w:rsid w:val="00E40AB3"/>
    <w:rsid w:val="00E40C16"/>
    <w:rsid w:val="00E42249"/>
    <w:rsid w:val="00E44113"/>
    <w:rsid w:val="00E4645E"/>
    <w:rsid w:val="00E471F8"/>
    <w:rsid w:val="00E50038"/>
    <w:rsid w:val="00E544F7"/>
    <w:rsid w:val="00E56371"/>
    <w:rsid w:val="00E66AA5"/>
    <w:rsid w:val="00E672C3"/>
    <w:rsid w:val="00E71839"/>
    <w:rsid w:val="00E72465"/>
    <w:rsid w:val="00E76E6A"/>
    <w:rsid w:val="00E773F7"/>
    <w:rsid w:val="00E77FAC"/>
    <w:rsid w:val="00E81CFF"/>
    <w:rsid w:val="00E83306"/>
    <w:rsid w:val="00E84449"/>
    <w:rsid w:val="00E8684C"/>
    <w:rsid w:val="00E86FD2"/>
    <w:rsid w:val="00E87069"/>
    <w:rsid w:val="00E90A87"/>
    <w:rsid w:val="00E938DE"/>
    <w:rsid w:val="00E9528C"/>
    <w:rsid w:val="00E9724D"/>
    <w:rsid w:val="00EA05B3"/>
    <w:rsid w:val="00EA403D"/>
    <w:rsid w:val="00EA5844"/>
    <w:rsid w:val="00EA61E3"/>
    <w:rsid w:val="00EA6A35"/>
    <w:rsid w:val="00EA786B"/>
    <w:rsid w:val="00EB23B7"/>
    <w:rsid w:val="00EB38AC"/>
    <w:rsid w:val="00EB3EA5"/>
    <w:rsid w:val="00EB442F"/>
    <w:rsid w:val="00EC0F51"/>
    <w:rsid w:val="00EC7902"/>
    <w:rsid w:val="00EC7EF7"/>
    <w:rsid w:val="00ED2589"/>
    <w:rsid w:val="00ED42E4"/>
    <w:rsid w:val="00EE06AF"/>
    <w:rsid w:val="00EE1042"/>
    <w:rsid w:val="00EE1BFD"/>
    <w:rsid w:val="00EE43E4"/>
    <w:rsid w:val="00EE586C"/>
    <w:rsid w:val="00EF21E0"/>
    <w:rsid w:val="00EF2F31"/>
    <w:rsid w:val="00EF4998"/>
    <w:rsid w:val="00EF63E0"/>
    <w:rsid w:val="00F00182"/>
    <w:rsid w:val="00F01857"/>
    <w:rsid w:val="00F019FA"/>
    <w:rsid w:val="00F02148"/>
    <w:rsid w:val="00F03021"/>
    <w:rsid w:val="00F04B8A"/>
    <w:rsid w:val="00F05BD5"/>
    <w:rsid w:val="00F07A9F"/>
    <w:rsid w:val="00F12A74"/>
    <w:rsid w:val="00F150A1"/>
    <w:rsid w:val="00F17300"/>
    <w:rsid w:val="00F2002F"/>
    <w:rsid w:val="00F208D6"/>
    <w:rsid w:val="00F21D4D"/>
    <w:rsid w:val="00F25EBD"/>
    <w:rsid w:val="00F266D6"/>
    <w:rsid w:val="00F31B8A"/>
    <w:rsid w:val="00F33B2D"/>
    <w:rsid w:val="00F419EA"/>
    <w:rsid w:val="00F41B44"/>
    <w:rsid w:val="00F41E73"/>
    <w:rsid w:val="00F422F4"/>
    <w:rsid w:val="00F43BC8"/>
    <w:rsid w:val="00F516E4"/>
    <w:rsid w:val="00F54665"/>
    <w:rsid w:val="00F556FB"/>
    <w:rsid w:val="00F61AA3"/>
    <w:rsid w:val="00F63B75"/>
    <w:rsid w:val="00F647FF"/>
    <w:rsid w:val="00F64D4E"/>
    <w:rsid w:val="00F6531C"/>
    <w:rsid w:val="00F6750E"/>
    <w:rsid w:val="00F67B95"/>
    <w:rsid w:val="00F7198C"/>
    <w:rsid w:val="00F72BD2"/>
    <w:rsid w:val="00F75100"/>
    <w:rsid w:val="00F81ACC"/>
    <w:rsid w:val="00F86D1A"/>
    <w:rsid w:val="00F9044D"/>
    <w:rsid w:val="00F908B7"/>
    <w:rsid w:val="00F93293"/>
    <w:rsid w:val="00F939C5"/>
    <w:rsid w:val="00FA67CE"/>
    <w:rsid w:val="00FB03DB"/>
    <w:rsid w:val="00FB0602"/>
    <w:rsid w:val="00FB112E"/>
    <w:rsid w:val="00FB628A"/>
    <w:rsid w:val="00FC00DA"/>
    <w:rsid w:val="00FC0FDE"/>
    <w:rsid w:val="00FC355A"/>
    <w:rsid w:val="00FC4874"/>
    <w:rsid w:val="00FC5C13"/>
    <w:rsid w:val="00FC7C13"/>
    <w:rsid w:val="00FD7066"/>
    <w:rsid w:val="00FD7D11"/>
    <w:rsid w:val="00FE009A"/>
    <w:rsid w:val="00FE00EE"/>
    <w:rsid w:val="00FE0A58"/>
    <w:rsid w:val="00FE1C02"/>
    <w:rsid w:val="00FE2A6A"/>
    <w:rsid w:val="00FE375E"/>
    <w:rsid w:val="00FE3A39"/>
    <w:rsid w:val="00FE5EB9"/>
    <w:rsid w:val="00FF00D7"/>
    <w:rsid w:val="00FF038A"/>
    <w:rsid w:val="00FF51FB"/>
    <w:rsid w:val="00FF6AE6"/>
    <w:rsid w:val="00FF735F"/>
    <w:rsid w:val="00FF7C16"/>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613004"/>
  <w15:docId w15:val="{A25299B6-80BC-4D84-9FD2-AB580B9DB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0109"/>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iPriority w:val="99"/>
    <w:rsid w:val="00D70109"/>
    <w:pPr>
      <w:spacing w:before="100" w:beforeAutospacing="1" w:after="100" w:afterAutospacing="1"/>
    </w:pPr>
    <w:rPr>
      <w:sz w:val="24"/>
      <w:szCs w:val="24"/>
      <w:lang w:val="vi-VN" w:eastAsia="vi-VN"/>
    </w:rPr>
  </w:style>
  <w:style w:type="character" w:styleId="Hyperlink">
    <w:name w:val="Hyperlink"/>
    <w:basedOn w:val="DefaultParagraphFont"/>
    <w:uiPriority w:val="99"/>
    <w:unhideWhenUsed/>
    <w:rsid w:val="00D70109"/>
    <w:rPr>
      <w:color w:val="0000FF"/>
      <w:u w:val="single"/>
    </w:rPr>
  </w:style>
  <w:style w:type="paragraph" w:styleId="BodyText">
    <w:name w:val="Body Text"/>
    <w:basedOn w:val="Normal"/>
    <w:link w:val="BodyTextChar"/>
    <w:rsid w:val="00D70109"/>
    <w:pPr>
      <w:spacing w:before="120"/>
      <w:jc w:val="both"/>
    </w:pPr>
  </w:style>
  <w:style w:type="paragraph" w:styleId="BodyTextIndent3">
    <w:name w:val="Body Text Indent 3"/>
    <w:basedOn w:val="Normal"/>
    <w:rsid w:val="00D70109"/>
    <w:pPr>
      <w:spacing w:after="120"/>
      <w:ind w:left="283"/>
    </w:pPr>
    <w:rPr>
      <w:sz w:val="16"/>
      <w:szCs w:val="16"/>
    </w:rPr>
  </w:style>
  <w:style w:type="paragraph" w:styleId="Footer">
    <w:name w:val="footer"/>
    <w:basedOn w:val="Normal"/>
    <w:rsid w:val="00D70109"/>
    <w:pPr>
      <w:tabs>
        <w:tab w:val="center" w:pos="4153"/>
        <w:tab w:val="right" w:pos="8306"/>
      </w:tabs>
    </w:pPr>
  </w:style>
  <w:style w:type="character" w:styleId="PageNumber">
    <w:name w:val="page number"/>
    <w:basedOn w:val="DefaultParagraphFont"/>
    <w:rsid w:val="00D70109"/>
  </w:style>
  <w:style w:type="paragraph" w:customStyle="1" w:styleId="CharCharChar">
    <w:name w:val="Char Char Char"/>
    <w:basedOn w:val="Normal"/>
    <w:rsid w:val="00D70109"/>
    <w:pPr>
      <w:spacing w:after="160" w:line="240" w:lineRule="exact"/>
    </w:pPr>
    <w:rPr>
      <w:rFonts w:ascii="Tahoma" w:eastAsia="PMingLiU" w:hAnsi="Tahoma"/>
      <w:sz w:val="20"/>
      <w:szCs w:val="20"/>
    </w:rPr>
  </w:style>
  <w:style w:type="paragraph" w:styleId="ListParagraph">
    <w:name w:val="List Paragraph"/>
    <w:basedOn w:val="Normal"/>
    <w:uiPriority w:val="34"/>
    <w:qFormat/>
    <w:rsid w:val="00987BB2"/>
    <w:pPr>
      <w:ind w:left="720"/>
      <w:contextualSpacing/>
    </w:pPr>
  </w:style>
  <w:style w:type="character" w:customStyle="1" w:styleId="BodyTextChar">
    <w:name w:val="Body Text Char"/>
    <w:basedOn w:val="DefaultParagraphFont"/>
    <w:link w:val="BodyText"/>
    <w:rsid w:val="0075685B"/>
    <w:rPr>
      <w:sz w:val="28"/>
      <w:szCs w:val="28"/>
    </w:rPr>
  </w:style>
  <w:style w:type="paragraph" w:styleId="Header">
    <w:name w:val="header"/>
    <w:basedOn w:val="Normal"/>
    <w:link w:val="HeaderChar"/>
    <w:uiPriority w:val="99"/>
    <w:unhideWhenUsed/>
    <w:rsid w:val="00834E56"/>
    <w:pPr>
      <w:tabs>
        <w:tab w:val="center" w:pos="4680"/>
        <w:tab w:val="right" w:pos="9360"/>
      </w:tabs>
    </w:pPr>
  </w:style>
  <w:style w:type="character" w:customStyle="1" w:styleId="HeaderChar">
    <w:name w:val="Header Char"/>
    <w:basedOn w:val="DefaultParagraphFont"/>
    <w:link w:val="Header"/>
    <w:uiPriority w:val="99"/>
    <w:rsid w:val="00834E56"/>
    <w:rPr>
      <w:sz w:val="28"/>
      <w:szCs w:val="28"/>
    </w:rPr>
  </w:style>
  <w:style w:type="paragraph" w:styleId="BalloonText">
    <w:name w:val="Balloon Text"/>
    <w:basedOn w:val="Normal"/>
    <w:link w:val="BalloonTextChar"/>
    <w:semiHidden/>
    <w:unhideWhenUsed/>
    <w:rsid w:val="00620446"/>
    <w:rPr>
      <w:rFonts w:ascii="Segoe UI" w:hAnsi="Segoe UI" w:cs="Segoe UI"/>
      <w:sz w:val="18"/>
      <w:szCs w:val="18"/>
    </w:rPr>
  </w:style>
  <w:style w:type="character" w:customStyle="1" w:styleId="BalloonTextChar">
    <w:name w:val="Balloon Text Char"/>
    <w:basedOn w:val="DefaultParagraphFont"/>
    <w:link w:val="BalloonText"/>
    <w:semiHidden/>
    <w:rsid w:val="00620446"/>
    <w:rPr>
      <w:rFonts w:ascii="Segoe UI" w:hAnsi="Segoe UI" w:cs="Segoe UI"/>
      <w:sz w:val="18"/>
      <w:szCs w:val="18"/>
    </w:rPr>
  </w:style>
  <w:style w:type="table" w:styleId="TableGrid">
    <w:name w:val="Table Grid"/>
    <w:basedOn w:val="TableNormal"/>
    <w:uiPriority w:val="59"/>
    <w:rsid w:val="00D5591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5NidungVB">
    <w:name w:val="05 Nội dung VB"/>
    <w:basedOn w:val="Normal"/>
    <w:link w:val="05NidungVBChar"/>
    <w:rsid w:val="006875EF"/>
    <w:pPr>
      <w:widowControl w:val="0"/>
      <w:spacing w:after="120" w:line="400" w:lineRule="atLeast"/>
      <w:ind w:firstLine="567"/>
      <w:jc w:val="both"/>
    </w:pPr>
  </w:style>
  <w:style w:type="character" w:customStyle="1" w:styleId="05NidungVBChar">
    <w:name w:val="05 Nội dung VB Char"/>
    <w:basedOn w:val="DefaultParagraphFont"/>
    <w:link w:val="05NidungVB"/>
    <w:locked/>
    <w:rsid w:val="006875EF"/>
    <w:rPr>
      <w:sz w:val="28"/>
      <w:szCs w:val="28"/>
    </w:rPr>
  </w:style>
  <w:style w:type="character" w:customStyle="1" w:styleId="NormalWebChar1">
    <w:name w:val="Normal (Web) Char1"/>
    <w:aliases w:val="Normal (Web) Char Char"/>
    <w:link w:val="NormalWeb"/>
    <w:uiPriority w:val="99"/>
    <w:locked/>
    <w:rsid w:val="00391AA3"/>
    <w:rPr>
      <w:sz w:val="24"/>
      <w:szCs w:val="24"/>
      <w:lang w:val="vi-VN" w:eastAsia="vi-VN"/>
    </w:rPr>
  </w:style>
  <w:style w:type="paragraph" w:styleId="BodyText2">
    <w:name w:val="Body Text 2"/>
    <w:basedOn w:val="Normal"/>
    <w:link w:val="BodyText2Char"/>
    <w:semiHidden/>
    <w:unhideWhenUsed/>
    <w:rsid w:val="0008734D"/>
    <w:pPr>
      <w:spacing w:after="120" w:line="480" w:lineRule="auto"/>
    </w:pPr>
  </w:style>
  <w:style w:type="character" w:customStyle="1" w:styleId="BodyText2Char">
    <w:name w:val="Body Text 2 Char"/>
    <w:basedOn w:val="DefaultParagraphFont"/>
    <w:link w:val="BodyText2"/>
    <w:semiHidden/>
    <w:rsid w:val="0008734D"/>
    <w:rPr>
      <w:sz w:val="28"/>
      <w:szCs w:val="28"/>
    </w:rPr>
  </w:style>
  <w:style w:type="paragraph" w:customStyle="1" w:styleId="CharCharCharChar">
    <w:name w:val=" Char Char Char Char"/>
    <w:basedOn w:val="Normal"/>
    <w:rsid w:val="0099575B"/>
    <w:pPr>
      <w:pageBreakBefore/>
      <w:spacing w:before="100" w:beforeAutospacing="1" w:after="100" w:afterAutospacing="1"/>
      <w:jc w:val="both"/>
    </w:pPr>
    <w:rPr>
      <w:rFonts w:ascii="Tahoma"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192410">
      <w:bodyDiv w:val="1"/>
      <w:marLeft w:val="0"/>
      <w:marRight w:val="0"/>
      <w:marTop w:val="0"/>
      <w:marBottom w:val="0"/>
      <w:divBdr>
        <w:top w:val="none" w:sz="0" w:space="0" w:color="auto"/>
        <w:left w:val="none" w:sz="0" w:space="0" w:color="auto"/>
        <w:bottom w:val="none" w:sz="0" w:space="0" w:color="auto"/>
        <w:right w:val="none" w:sz="0" w:space="0" w:color="auto"/>
      </w:divBdr>
    </w:div>
    <w:div w:id="382489446">
      <w:bodyDiv w:val="1"/>
      <w:marLeft w:val="0"/>
      <w:marRight w:val="0"/>
      <w:marTop w:val="0"/>
      <w:marBottom w:val="0"/>
      <w:divBdr>
        <w:top w:val="none" w:sz="0" w:space="0" w:color="auto"/>
        <w:left w:val="none" w:sz="0" w:space="0" w:color="auto"/>
        <w:bottom w:val="none" w:sz="0" w:space="0" w:color="auto"/>
        <w:right w:val="none" w:sz="0" w:space="0" w:color="auto"/>
      </w:divBdr>
    </w:div>
    <w:div w:id="495803631">
      <w:bodyDiv w:val="1"/>
      <w:marLeft w:val="0"/>
      <w:marRight w:val="0"/>
      <w:marTop w:val="0"/>
      <w:marBottom w:val="0"/>
      <w:divBdr>
        <w:top w:val="none" w:sz="0" w:space="0" w:color="auto"/>
        <w:left w:val="none" w:sz="0" w:space="0" w:color="auto"/>
        <w:bottom w:val="none" w:sz="0" w:space="0" w:color="auto"/>
        <w:right w:val="none" w:sz="0" w:space="0" w:color="auto"/>
      </w:divBdr>
    </w:div>
    <w:div w:id="546141742">
      <w:bodyDiv w:val="1"/>
      <w:marLeft w:val="0"/>
      <w:marRight w:val="0"/>
      <w:marTop w:val="0"/>
      <w:marBottom w:val="0"/>
      <w:divBdr>
        <w:top w:val="none" w:sz="0" w:space="0" w:color="auto"/>
        <w:left w:val="none" w:sz="0" w:space="0" w:color="auto"/>
        <w:bottom w:val="none" w:sz="0" w:space="0" w:color="auto"/>
        <w:right w:val="none" w:sz="0" w:space="0" w:color="auto"/>
      </w:divBdr>
    </w:div>
    <w:div w:id="722409963">
      <w:bodyDiv w:val="1"/>
      <w:marLeft w:val="0"/>
      <w:marRight w:val="0"/>
      <w:marTop w:val="0"/>
      <w:marBottom w:val="0"/>
      <w:divBdr>
        <w:top w:val="none" w:sz="0" w:space="0" w:color="auto"/>
        <w:left w:val="none" w:sz="0" w:space="0" w:color="auto"/>
        <w:bottom w:val="none" w:sz="0" w:space="0" w:color="auto"/>
        <w:right w:val="none" w:sz="0" w:space="0" w:color="auto"/>
      </w:divBdr>
    </w:div>
    <w:div w:id="852496465">
      <w:bodyDiv w:val="1"/>
      <w:marLeft w:val="0"/>
      <w:marRight w:val="0"/>
      <w:marTop w:val="0"/>
      <w:marBottom w:val="0"/>
      <w:divBdr>
        <w:top w:val="none" w:sz="0" w:space="0" w:color="auto"/>
        <w:left w:val="none" w:sz="0" w:space="0" w:color="auto"/>
        <w:bottom w:val="none" w:sz="0" w:space="0" w:color="auto"/>
        <w:right w:val="none" w:sz="0" w:space="0" w:color="auto"/>
      </w:divBdr>
    </w:div>
    <w:div w:id="858274846">
      <w:bodyDiv w:val="1"/>
      <w:marLeft w:val="0"/>
      <w:marRight w:val="0"/>
      <w:marTop w:val="0"/>
      <w:marBottom w:val="0"/>
      <w:divBdr>
        <w:top w:val="none" w:sz="0" w:space="0" w:color="auto"/>
        <w:left w:val="none" w:sz="0" w:space="0" w:color="auto"/>
        <w:bottom w:val="none" w:sz="0" w:space="0" w:color="auto"/>
        <w:right w:val="none" w:sz="0" w:space="0" w:color="auto"/>
      </w:divBdr>
    </w:div>
    <w:div w:id="1144859587">
      <w:bodyDiv w:val="1"/>
      <w:marLeft w:val="0"/>
      <w:marRight w:val="0"/>
      <w:marTop w:val="0"/>
      <w:marBottom w:val="0"/>
      <w:divBdr>
        <w:top w:val="none" w:sz="0" w:space="0" w:color="auto"/>
        <w:left w:val="none" w:sz="0" w:space="0" w:color="auto"/>
        <w:bottom w:val="none" w:sz="0" w:space="0" w:color="auto"/>
        <w:right w:val="none" w:sz="0" w:space="0" w:color="auto"/>
      </w:divBdr>
    </w:div>
    <w:div w:id="1281650123">
      <w:bodyDiv w:val="1"/>
      <w:marLeft w:val="0"/>
      <w:marRight w:val="0"/>
      <w:marTop w:val="0"/>
      <w:marBottom w:val="0"/>
      <w:divBdr>
        <w:top w:val="none" w:sz="0" w:space="0" w:color="auto"/>
        <w:left w:val="none" w:sz="0" w:space="0" w:color="auto"/>
        <w:bottom w:val="none" w:sz="0" w:space="0" w:color="auto"/>
        <w:right w:val="none" w:sz="0" w:space="0" w:color="auto"/>
      </w:divBdr>
    </w:div>
    <w:div w:id="1314525878">
      <w:bodyDiv w:val="1"/>
      <w:marLeft w:val="0"/>
      <w:marRight w:val="0"/>
      <w:marTop w:val="0"/>
      <w:marBottom w:val="0"/>
      <w:divBdr>
        <w:top w:val="none" w:sz="0" w:space="0" w:color="auto"/>
        <w:left w:val="none" w:sz="0" w:space="0" w:color="auto"/>
        <w:bottom w:val="none" w:sz="0" w:space="0" w:color="auto"/>
        <w:right w:val="none" w:sz="0" w:space="0" w:color="auto"/>
      </w:divBdr>
    </w:div>
    <w:div w:id="1596161284">
      <w:bodyDiv w:val="1"/>
      <w:marLeft w:val="0"/>
      <w:marRight w:val="0"/>
      <w:marTop w:val="0"/>
      <w:marBottom w:val="0"/>
      <w:divBdr>
        <w:top w:val="none" w:sz="0" w:space="0" w:color="auto"/>
        <w:left w:val="none" w:sz="0" w:space="0" w:color="auto"/>
        <w:bottom w:val="none" w:sz="0" w:space="0" w:color="auto"/>
        <w:right w:val="none" w:sz="0" w:space="0" w:color="auto"/>
      </w:divBdr>
    </w:div>
    <w:div w:id="1645155025">
      <w:bodyDiv w:val="1"/>
      <w:marLeft w:val="0"/>
      <w:marRight w:val="0"/>
      <w:marTop w:val="0"/>
      <w:marBottom w:val="0"/>
      <w:divBdr>
        <w:top w:val="none" w:sz="0" w:space="0" w:color="auto"/>
        <w:left w:val="none" w:sz="0" w:space="0" w:color="auto"/>
        <w:bottom w:val="none" w:sz="0" w:space="0" w:color="auto"/>
        <w:right w:val="none" w:sz="0" w:space="0" w:color="auto"/>
      </w:divBdr>
    </w:div>
    <w:div w:id="1771470003">
      <w:bodyDiv w:val="1"/>
      <w:marLeft w:val="0"/>
      <w:marRight w:val="0"/>
      <w:marTop w:val="0"/>
      <w:marBottom w:val="0"/>
      <w:divBdr>
        <w:top w:val="none" w:sz="0" w:space="0" w:color="auto"/>
        <w:left w:val="none" w:sz="0" w:space="0" w:color="auto"/>
        <w:bottom w:val="none" w:sz="0" w:space="0" w:color="auto"/>
        <w:right w:val="none" w:sz="0" w:space="0" w:color="auto"/>
      </w:divBdr>
    </w:div>
    <w:div w:id="1946426760">
      <w:bodyDiv w:val="1"/>
      <w:marLeft w:val="0"/>
      <w:marRight w:val="0"/>
      <w:marTop w:val="0"/>
      <w:marBottom w:val="0"/>
      <w:divBdr>
        <w:top w:val="none" w:sz="0" w:space="0" w:color="auto"/>
        <w:left w:val="none" w:sz="0" w:space="0" w:color="auto"/>
        <w:bottom w:val="none" w:sz="0" w:space="0" w:color="auto"/>
        <w:right w:val="none" w:sz="0" w:space="0" w:color="auto"/>
      </w:divBdr>
    </w:div>
    <w:div w:id="2053916668">
      <w:bodyDiv w:val="1"/>
      <w:marLeft w:val="0"/>
      <w:marRight w:val="0"/>
      <w:marTop w:val="0"/>
      <w:marBottom w:val="0"/>
      <w:divBdr>
        <w:top w:val="none" w:sz="0" w:space="0" w:color="auto"/>
        <w:left w:val="none" w:sz="0" w:space="0" w:color="auto"/>
        <w:bottom w:val="none" w:sz="0" w:space="0" w:color="auto"/>
        <w:right w:val="none" w:sz="0" w:space="0" w:color="auto"/>
      </w:divBdr>
    </w:div>
    <w:div w:id="213316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9ED1B-78B5-490D-BF4E-531743520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1526</Words>
  <Characters>8702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Giá công sản - Sở Tài chính</vt:lpstr>
    </vt:vector>
  </TitlesOfParts>
  <Company>HOME</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Giá công sản - Sở Tài chính</dc:title>
  <dc:subject/>
  <dc:creator>User</dc:creator>
  <cp:keywords/>
  <dc:description/>
  <cp:lastModifiedBy>Administrator</cp:lastModifiedBy>
  <cp:revision>13</cp:revision>
  <cp:lastPrinted>2024-11-11T03:07:00Z</cp:lastPrinted>
  <dcterms:created xsi:type="dcterms:W3CDTF">2024-11-11T02:32:00Z</dcterms:created>
  <dcterms:modified xsi:type="dcterms:W3CDTF">2024-11-11T03:18:00Z</dcterms:modified>
</cp:coreProperties>
</file>